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Методические рекомендации</w:t>
      </w:r>
    </w:p>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1. Введение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1.1.Настоящие Методические рекомендации подготовлены во исполнение подпункта"а" пункта 16 Национального плана противодействия коррупции на 2018-2020 годы, утвержденного Указом Президента Российской Федерации от 29 июня 2018г.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2011г. №223-ФЗ "О закупках товаров, работ, услуг отдельными видами юридических лиц" (далее – закупки, Федеральный закон №44-ФЗ и Федеральный закон №223-ФЗ соответственно).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Предметом настоящих Методических рекомендаций является определение в соответствии с Федеральным законом от 25 декабря 2008 г. №273-ФЗ "О противодействии коррупции" (далее – Федеральный закон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законом№44-ФЗ и Федеральным законом №223-ФЗ.</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частью 8 статьи 31 </w:t>
      </w:r>
      <w:hyperlink r:id="rId5" w:history="1">
        <w:r w:rsidRPr="007F4779">
          <w:rPr>
            <w:rFonts w:ascii="Verdana" w:eastAsia="Times New Roman" w:hAnsi="Verdana" w:cs="Arial"/>
            <w:color w:val="428BCA"/>
            <w:sz w:val="18"/>
            <w:szCs w:val="18"/>
            <w:u w:val="single"/>
            <w:lang w:eastAsia="ru-RU"/>
          </w:rPr>
          <w:t>Федерального закона № 44-ФЗ</w:t>
        </w:r>
      </w:hyperlink>
      <w:r w:rsidRPr="007F4779">
        <w:rPr>
          <w:rFonts w:ascii="Verdana" w:eastAsia="Times New Roman" w:hAnsi="Verdana" w:cs="Arial"/>
          <w:color w:val="3C3C3C"/>
          <w:sz w:val="18"/>
          <w:szCs w:val="18"/>
          <w:lang w:eastAsia="ru-RU"/>
        </w:rPr>
        <w:t>.</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1.2.В соответствии с частью 2 статьи 10 </w:t>
      </w:r>
      <w:hyperlink r:id="rId6" w:history="1">
        <w:r w:rsidRPr="007F4779">
          <w:rPr>
            <w:rFonts w:ascii="Verdana" w:eastAsia="Times New Roman" w:hAnsi="Verdana" w:cs="Arial"/>
            <w:color w:val="428BCA"/>
            <w:sz w:val="18"/>
            <w:szCs w:val="18"/>
            <w:u w:val="single"/>
            <w:lang w:eastAsia="ru-RU"/>
          </w:rPr>
          <w:t>Федерального закона №273-ФЗ</w:t>
        </w:r>
      </w:hyperlink>
      <w:r w:rsidRPr="007F4779">
        <w:rPr>
          <w:rFonts w:ascii="Verdana" w:eastAsia="Times New Roman" w:hAnsi="Verdana" w:cs="Arial"/>
          <w:color w:val="3C3C3C"/>
          <w:sz w:val="18"/>
          <w:szCs w:val="18"/>
          <w:lang w:eastAsia="ru-RU"/>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 xml:space="preserve">1.3.Одновременно в соответствии с частью 1 статьи 10 Федерального закона№273-ФЗ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w:t>
      </w:r>
      <w:r w:rsidRPr="007F4779">
        <w:rPr>
          <w:rFonts w:ascii="Verdana" w:eastAsia="Times New Roman" w:hAnsi="Verdana" w:cs="Arial"/>
          <w:color w:val="3C3C3C"/>
          <w:sz w:val="18"/>
          <w:szCs w:val="18"/>
          <w:lang w:eastAsia="ru-RU"/>
        </w:rPr>
        <w:lastRenderedPageBreak/>
        <w:t>беспристрастное исполнение им должностных (служебных) обязанностей (осуществление полномочий).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1.4.В соответствии с частью 3 статьи 10 </w:t>
      </w:r>
      <w:hyperlink r:id="rId7" w:history="1">
        <w:r w:rsidRPr="007F4779">
          <w:rPr>
            <w:rFonts w:ascii="Verdana" w:eastAsia="Times New Roman" w:hAnsi="Verdana" w:cs="Arial"/>
            <w:color w:val="428BCA"/>
            <w:sz w:val="18"/>
            <w:szCs w:val="18"/>
            <w:u w:val="single"/>
            <w:lang w:eastAsia="ru-RU"/>
          </w:rPr>
          <w:t>Федерального </w:t>
        </w:r>
      </w:hyperlink>
      <w:hyperlink r:id="rId8" w:history="1">
        <w:r w:rsidRPr="007F4779">
          <w:rPr>
            <w:rFonts w:ascii="Verdana" w:eastAsia="Times New Roman" w:hAnsi="Verdana" w:cs="Arial"/>
            <w:color w:val="428BCA"/>
            <w:sz w:val="18"/>
            <w:szCs w:val="18"/>
            <w:u w:val="single"/>
            <w:lang w:eastAsia="ru-RU"/>
          </w:rPr>
          <w:t>закона №273-ФЗ</w:t>
        </w:r>
      </w:hyperlink>
      <w:r w:rsidRPr="007F4779">
        <w:rPr>
          <w:rFonts w:ascii="Verdana" w:eastAsia="Times New Roman" w:hAnsi="Verdana" w:cs="Arial"/>
          <w:color w:val="3C3C3C"/>
          <w:sz w:val="18"/>
          <w:szCs w:val="18"/>
          <w:lang w:eastAsia="ru-RU"/>
        </w:rPr>
        <w:t> обязанность принимать меры по предотвращению и урегулированию конфликта интересов возлагается: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1)на государственных и муниципальных служащих;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4)на иные категории лиц в случаях, предусмотренных федеральными законами.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1.5.Вместе с тем </w:t>
      </w:r>
      <w:hyperlink r:id="rId9" w:history="1">
        <w:r w:rsidRPr="007F4779">
          <w:rPr>
            <w:rFonts w:ascii="Verdana" w:eastAsia="Times New Roman" w:hAnsi="Verdana" w:cs="Arial"/>
            <w:color w:val="428BCA"/>
            <w:sz w:val="18"/>
            <w:szCs w:val="18"/>
            <w:u w:val="single"/>
            <w:lang w:eastAsia="ru-RU"/>
          </w:rPr>
          <w:t>Федеральным законом №223-ФЗ</w:t>
        </w:r>
      </w:hyperlink>
      <w:r w:rsidRPr="007F4779">
        <w:rPr>
          <w:rFonts w:ascii="Verdana" w:eastAsia="Times New Roman" w:hAnsi="Verdana" w:cs="Arial"/>
          <w:color w:val="3C3C3C"/>
          <w:sz w:val="18"/>
          <w:szCs w:val="18"/>
          <w:lang w:eastAsia="ru-RU"/>
        </w:rPr>
        <w:t>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1.6.При организации работы, направленной на выявление личной заинтересованности служащих (работников)при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осуществлении соответствующих мероприятий органу (организации) необходимо исходить не только из принципа законности, но и из принципарезультативности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Таким образом, реализацияв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Работа, направленная на выявление личной заинтересованности служащих (работников)при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1.7.Для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p>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2. Организация работы по выявлению личной заинтересованности служащих (работников) при осуществлении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2.1.В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2.2.Деятельность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2.3.В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2.4.Для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Таким образом, подобное взаимодействие, исходя из фактических обстоятельств, может быть организовано следующими способами: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рабочем порядке (посредством телефонной связи, переписки посредством электронной почты и т.д.);</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официальном порядке (например, служебная переписка);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-иные способы.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3. Профилактические мероприятия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3.1.Подразделению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1)руководитель заказчика;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3)должностные лица контрактной службы или контрактный управляющий;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4)служащие (работники), заинтересованные в осуществлении закупки (например, служащие (работники), участвующие описании объекта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5)иные лица, участвующие в осуществлении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3.2.Таким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3.3.Одновременно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1)понятия "конфликт интересов" и "личная заинтересованность";</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2)обязанность принимать меры по предотвращению и урегулированию конфликта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5)ответственность за неисполнение указанной обязанности;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6)иная признанная целесообразной к сообщению информация.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Также такую работу рекомендуется проводить с лицами, которым впервые поручено осуществлять деятельность, связанную с закупками.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3.4.Подразделению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3.5.Типовые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10" w:history="1">
        <w:r w:rsidRPr="007F4779">
          <w:rPr>
            <w:rFonts w:ascii="Verdana" w:eastAsia="Times New Roman" w:hAnsi="Verdana" w:cs="Arial"/>
            <w:color w:val="428BCA"/>
            <w:sz w:val="18"/>
            <w:szCs w:val="18"/>
            <w:u w:val="single"/>
            <w:lang w:eastAsia="ru-RU"/>
          </w:rPr>
          <w:t>https://rosmintrud.ru/ministry/programms/anticorruption/9/13</w:t>
        </w:r>
      </w:hyperlink>
      <w:r w:rsidRPr="007F4779">
        <w:rPr>
          <w:rFonts w:ascii="Verdana" w:eastAsia="Times New Roman" w:hAnsi="Verdana" w:cs="Arial"/>
          <w:color w:val="3C3C3C"/>
          <w:sz w:val="18"/>
          <w:szCs w:val="18"/>
          <w:lang w:eastAsia="ru-RU"/>
        </w:rPr>
        <w:t>, а также могут быть подготовлены самостоятельно посредством анализа, например, судебных решений.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К типовым ситуациям, применимым непосредственно для целей закупок, могут относиться следующие: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 xml:space="preserve">3.6.Кроме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w:t>
      </w:r>
      <w:r w:rsidRPr="007F4779">
        <w:rPr>
          <w:rFonts w:ascii="Verdana" w:eastAsia="Times New Roman" w:hAnsi="Verdana" w:cs="Arial"/>
          <w:color w:val="3C3C3C"/>
          <w:sz w:val="18"/>
          <w:szCs w:val="18"/>
          <w:lang w:eastAsia="ru-RU"/>
        </w:rPr>
        <w:lastRenderedPageBreak/>
        <w:t>которая влияет или может повлиять на надлежащее, объективное и беспристрастное осуществление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Указанная оценка знаний может проводиться в форме тестирования с перечнем открытых и закрытых вопросов.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3.7.В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4. Аналитические мероприятия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Указанные критерии могут основываться на следующих аспектах: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-коррупционная емкость предмета (сферы) закупки (строительство (в том числе жилищное), здравоохранение и т.д.);</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-частота заключаемых контрактов с одним и тем же поставщиком(подрядчиком,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поставщика(подрядчика, исполнителя);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-иные применимые аспекты.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4.2.Анализ соблюдения положений законодательства Российской Федерации о противодействии коррупции, может основываться на следующем: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-абсолютный анализ всех служащих (работников), участвующих в закупочной деятельности, а также всех участников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-иные основания для проведения анализа.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4.3.В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w:t>
      </w:r>
      <w:hyperlink r:id="rId11" w:history="1">
        <w:r w:rsidRPr="007F4779">
          <w:rPr>
            <w:rFonts w:ascii="Verdana" w:eastAsia="Times New Roman" w:hAnsi="Verdana" w:cs="Arial"/>
            <w:color w:val="428BCA"/>
            <w:sz w:val="18"/>
            <w:szCs w:val="18"/>
            <w:u w:val="single"/>
            <w:lang w:eastAsia="ru-RU"/>
          </w:rPr>
          <w:t>Федерального закона №44-ФЗ</w:t>
        </w:r>
      </w:hyperlink>
      <w:r w:rsidRPr="007F4779">
        <w:rPr>
          <w:rFonts w:ascii="Verdana" w:eastAsia="Times New Roman" w:hAnsi="Verdana" w:cs="Arial"/>
          <w:color w:val="3C3C3C"/>
          <w:sz w:val="18"/>
          <w:szCs w:val="18"/>
          <w:lang w:eastAsia="ru-RU"/>
        </w:rPr>
        <w:t> или </w:t>
      </w:r>
      <w:hyperlink r:id="rId12" w:history="1">
        <w:r w:rsidRPr="007F4779">
          <w:rPr>
            <w:rFonts w:ascii="Verdana" w:eastAsia="Times New Roman" w:hAnsi="Verdana" w:cs="Arial"/>
            <w:color w:val="428BCA"/>
            <w:sz w:val="18"/>
            <w:szCs w:val="18"/>
            <w:u w:val="single"/>
            <w:lang w:eastAsia="ru-RU"/>
          </w:rPr>
          <w:t>Федерального закона №223-ФЗ</w:t>
        </w:r>
      </w:hyperlink>
      <w:r w:rsidRPr="007F4779">
        <w:rPr>
          <w:rFonts w:ascii="Verdana" w:eastAsia="Times New Roman" w:hAnsi="Verdana" w:cs="Arial"/>
          <w:color w:val="3C3C3C"/>
          <w:sz w:val="18"/>
          <w:szCs w:val="18"/>
          <w:lang w:eastAsia="ru-RU"/>
        </w:rPr>
        <w:t> и (или) она содержит сведения о наличии у служащих (работников) личной заинтересованности в закупке.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Аналитические мероприятия в отношении служащих (работников), участвующих в закупке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4.4.По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4.5.В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1)трудовая книжка;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№667-р;</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3)личная карточка работника;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4)форма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5)сведения о доходах, расходах, об имуществе и обязательствах имущественного характера;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6)иная информация, в том числе содержащаяся в личном деле служащего (работника).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Кроме того, рекомендуется обеспечить ежегодную актуализацию информации, находящейся в личном деле служащего (работника).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Например, информация, содержащаяся в следующих документах: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-поступившие в орган в соответствии с частью4 статьи12 Федерального закона №273-ФЗ сообщения от работодателей бывших служащих;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-журнал посещений органа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-реестр ранее заключенных контрактов;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-реестр контрагентов.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4.6.В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4.7.На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Аналитические мероприятия в отношении участников закупок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4.8.Аналогичный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4.9.Информацию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hyperlink r:id="rId13" w:history="1">
        <w:r w:rsidRPr="007F4779">
          <w:rPr>
            <w:rFonts w:ascii="Verdana" w:eastAsia="Times New Roman" w:hAnsi="Verdana" w:cs="Arial"/>
            <w:color w:val="428BCA"/>
            <w:sz w:val="18"/>
            <w:szCs w:val="18"/>
            <w:u w:val="single"/>
            <w:lang w:eastAsia="ru-RU"/>
          </w:rPr>
          <w:t>http://zakupki.gov.ru/</w:t>
        </w:r>
      </w:hyperlink>
      <w:r w:rsidRPr="007F4779">
        <w:rPr>
          <w:rFonts w:ascii="Verdana" w:eastAsia="Times New Roman" w:hAnsi="Verdana" w:cs="Arial"/>
          <w:color w:val="3C3C3C"/>
          <w:sz w:val="18"/>
          <w:szCs w:val="18"/>
          <w:lang w:eastAsia="ru-RU"/>
        </w:rPr>
        <w:t>.</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4.10.В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-на получение конкурсной документации;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-от участника закупки о даче разъяснений положений документации;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 даче разъяснений результатов определения поставщика (подрядчика, исполнителя);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-иные запросы.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4.10.1.В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4.11.Анализу и обобщению для формирования профиля подлежит следующая информация (если применимо):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3)документ,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4)копии учредительных документов участника закупки (для юридического лица);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5)иные представленные участником закупки документы.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 xml:space="preserve">4.12.В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№44-ФЗ (об отсутствии между ним и заказчиком конфликта </w:t>
      </w:r>
      <w:r w:rsidRPr="007F4779">
        <w:rPr>
          <w:rFonts w:ascii="Verdana" w:eastAsia="Times New Roman" w:hAnsi="Verdana" w:cs="Arial"/>
          <w:color w:val="3C3C3C"/>
          <w:sz w:val="18"/>
          <w:szCs w:val="18"/>
          <w:lang w:eastAsia="ru-RU"/>
        </w:rPr>
        <w:lastRenderedPageBreak/>
        <w:t>интересов), то об указанном факте рекомендуется незамедлительно проинформировать руководителя заказчика и (или) комиссию.</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необходимо принимать во внимание, что определение понятия "конфликт интересов", используемое в </w:t>
      </w:r>
      <w:hyperlink r:id="rId14" w:history="1">
        <w:r w:rsidRPr="007F4779">
          <w:rPr>
            <w:rFonts w:ascii="Verdana" w:eastAsia="Times New Roman" w:hAnsi="Verdana" w:cs="Arial"/>
            <w:color w:val="428BCA"/>
            <w:sz w:val="18"/>
            <w:szCs w:val="18"/>
            <w:u w:val="single"/>
            <w:lang w:eastAsia="ru-RU"/>
          </w:rPr>
          <w:t>Федеральном законе №44-ФЗ</w:t>
        </w:r>
      </w:hyperlink>
      <w:r w:rsidRPr="007F4779">
        <w:rPr>
          <w:rFonts w:ascii="Verdana" w:eastAsia="Times New Roman" w:hAnsi="Verdana" w:cs="Arial"/>
          <w:color w:val="3C3C3C"/>
          <w:sz w:val="18"/>
          <w:szCs w:val="18"/>
          <w:lang w:eastAsia="ru-RU"/>
        </w:rPr>
        <w:t>,</w:t>
      </w:r>
      <w:r w:rsidRPr="007F4779">
        <w:rPr>
          <w:rFonts w:ascii="Arial" w:eastAsia="Times New Roman" w:hAnsi="Arial" w:cs="Arial"/>
          <w:color w:val="3C3C3C"/>
          <w:sz w:val="21"/>
          <w:szCs w:val="21"/>
          <w:lang w:eastAsia="ru-RU"/>
        </w:rPr>
        <w:br/>
      </w:r>
      <w:r w:rsidRPr="007F4779">
        <w:rPr>
          <w:rFonts w:ascii="Verdana" w:eastAsia="Times New Roman" w:hAnsi="Verdana" w:cs="Arial"/>
          <w:color w:val="3C3C3C"/>
          <w:sz w:val="18"/>
          <w:szCs w:val="18"/>
          <w:lang w:eastAsia="ru-RU"/>
        </w:rPr>
        <w:t>отлично от аналогичного понятия, предусмотренного </w:t>
      </w:r>
      <w:hyperlink r:id="rId15" w:history="1">
        <w:r w:rsidRPr="007F4779">
          <w:rPr>
            <w:rFonts w:ascii="Verdana" w:eastAsia="Times New Roman" w:hAnsi="Verdana" w:cs="Arial"/>
            <w:color w:val="428BCA"/>
            <w:sz w:val="18"/>
            <w:szCs w:val="18"/>
            <w:u w:val="single"/>
            <w:lang w:eastAsia="ru-RU"/>
          </w:rPr>
          <w:t>Федеральным </w:t>
        </w:r>
      </w:hyperlink>
      <w:hyperlink r:id="rId16" w:history="1">
        <w:r w:rsidRPr="007F4779">
          <w:rPr>
            <w:rFonts w:ascii="Verdana" w:eastAsia="Times New Roman" w:hAnsi="Verdana" w:cs="Arial"/>
            <w:color w:val="428BCA"/>
            <w:sz w:val="18"/>
            <w:szCs w:val="18"/>
            <w:u w:val="single"/>
            <w:lang w:eastAsia="ru-RU"/>
          </w:rPr>
          <w:t>законом № 273-ФЗ</w:t>
        </w:r>
      </w:hyperlink>
      <w:r w:rsidRPr="007F4779">
        <w:rPr>
          <w:rFonts w:ascii="Verdana" w:eastAsia="Times New Roman" w:hAnsi="Verdana" w:cs="Arial"/>
          <w:color w:val="3C3C3C"/>
          <w:sz w:val="18"/>
          <w:szCs w:val="18"/>
          <w:lang w:eastAsia="ru-RU"/>
        </w:rPr>
        <w:t>.</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Принятым в соответствии с </w:t>
      </w:r>
      <w:hyperlink r:id="rId17" w:history="1">
        <w:r w:rsidRPr="007F4779">
          <w:rPr>
            <w:rFonts w:ascii="Verdana" w:eastAsia="Times New Roman" w:hAnsi="Verdana" w:cs="Arial"/>
            <w:color w:val="428BCA"/>
            <w:sz w:val="18"/>
            <w:szCs w:val="18"/>
            <w:u w:val="single"/>
            <w:lang w:eastAsia="ru-RU"/>
          </w:rPr>
          <w:t>Конституцией Российской Федерации</w:t>
        </w:r>
      </w:hyperlink>
      <w:r w:rsidRPr="007F4779">
        <w:rPr>
          <w:rFonts w:ascii="Verdana" w:eastAsia="Times New Roman" w:hAnsi="Verdana" w:cs="Arial"/>
          <w:color w:val="3C3C3C"/>
          <w:sz w:val="18"/>
          <w:szCs w:val="18"/>
          <w:lang w:eastAsia="ru-RU"/>
        </w:rPr>
        <w:t>, </w:t>
      </w:r>
      <w:hyperlink r:id="rId18" w:history="1">
        <w:r w:rsidRPr="007F4779">
          <w:rPr>
            <w:rFonts w:ascii="Verdana" w:eastAsia="Times New Roman" w:hAnsi="Verdana" w:cs="Arial"/>
            <w:color w:val="428BCA"/>
            <w:sz w:val="18"/>
            <w:szCs w:val="18"/>
            <w:u w:val="single"/>
            <w:lang w:eastAsia="ru-RU"/>
          </w:rPr>
          <w:t>Гражданским кодексом Российской Федерации</w:t>
        </w:r>
      </w:hyperlink>
      <w:r w:rsidRPr="007F4779">
        <w:rPr>
          <w:rFonts w:ascii="Verdana" w:eastAsia="Times New Roman" w:hAnsi="Verdana" w:cs="Arial"/>
          <w:color w:val="3C3C3C"/>
          <w:sz w:val="18"/>
          <w:szCs w:val="18"/>
          <w:lang w:eastAsia="ru-RU"/>
        </w:rPr>
        <w:t>, </w:t>
      </w:r>
      <w:hyperlink r:id="rId19" w:history="1">
        <w:r w:rsidRPr="007F4779">
          <w:rPr>
            <w:rFonts w:ascii="Verdana" w:eastAsia="Times New Roman" w:hAnsi="Verdana" w:cs="Arial"/>
            <w:color w:val="428BCA"/>
            <w:sz w:val="18"/>
            <w:szCs w:val="18"/>
            <w:u w:val="single"/>
            <w:lang w:eastAsia="ru-RU"/>
          </w:rPr>
          <w:t>Федеральным </w:t>
        </w:r>
      </w:hyperlink>
      <w:hyperlink r:id="rId20" w:history="1">
        <w:r w:rsidRPr="007F4779">
          <w:rPr>
            <w:rFonts w:ascii="Verdana" w:eastAsia="Times New Roman" w:hAnsi="Verdana" w:cs="Arial"/>
            <w:color w:val="428BCA"/>
            <w:sz w:val="18"/>
            <w:szCs w:val="18"/>
            <w:u w:val="single"/>
            <w:lang w:eastAsia="ru-RU"/>
          </w:rPr>
          <w:t>законом №223-ФЗ</w:t>
        </w:r>
      </w:hyperlink>
      <w:r w:rsidRPr="007F4779">
        <w:rPr>
          <w:rFonts w:ascii="Verdana" w:eastAsia="Times New Roman" w:hAnsi="Verdana" w:cs="Arial"/>
          <w:color w:val="3C3C3C"/>
          <w:sz w:val="18"/>
          <w:szCs w:val="18"/>
          <w:lang w:eastAsia="ru-RU"/>
        </w:rPr>
        <w:t>, другими федеральными законами и иными нормативными правовыми актами Российской Федерации и утвержденным с учетом положений части 3 статьи 2 </w:t>
      </w:r>
      <w:hyperlink r:id="rId21" w:history="1">
        <w:r w:rsidRPr="007F4779">
          <w:rPr>
            <w:rFonts w:ascii="Verdana" w:eastAsia="Times New Roman" w:hAnsi="Verdana" w:cs="Arial"/>
            <w:color w:val="428BCA"/>
            <w:sz w:val="18"/>
            <w:szCs w:val="18"/>
            <w:u w:val="single"/>
            <w:lang w:eastAsia="ru-RU"/>
          </w:rPr>
          <w:t>Федерального закона №223-ФЗ</w:t>
        </w:r>
      </w:hyperlink>
      <w:r w:rsidRPr="007F4779">
        <w:rPr>
          <w:rFonts w:ascii="Verdana" w:eastAsia="Times New Roman" w:hAnsi="Verdana" w:cs="Arial"/>
          <w:color w:val="3C3C3C"/>
          <w:sz w:val="18"/>
          <w:szCs w:val="18"/>
          <w:lang w:eastAsia="ru-RU"/>
        </w:rPr>
        <w:t> правовым актом, регламентирующим правила закупки (далее – положение о закупке), также может быть установлено иное определение понятия"конфликт интересов", применимое при осуществлении закупок в рамках Федерального</w:t>
      </w:r>
      <w:r w:rsidRPr="007F4779">
        <w:rPr>
          <w:rFonts w:ascii="Arial" w:eastAsia="Times New Roman" w:hAnsi="Arial" w:cs="Arial"/>
          <w:color w:val="3C3C3C"/>
          <w:sz w:val="21"/>
          <w:szCs w:val="21"/>
          <w:lang w:eastAsia="ru-RU"/>
        </w:rPr>
        <w:br/>
      </w:r>
      <w:r w:rsidRPr="007F4779">
        <w:rPr>
          <w:rFonts w:ascii="Verdana" w:eastAsia="Times New Roman" w:hAnsi="Verdana" w:cs="Arial"/>
          <w:color w:val="3C3C3C"/>
          <w:sz w:val="18"/>
          <w:szCs w:val="18"/>
          <w:lang w:eastAsia="ru-RU"/>
        </w:rPr>
        <w:t>закона № 223-ФЗ.</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4.13.Если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4.14.Иная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22" w:history="1">
        <w:r w:rsidRPr="007F4779">
          <w:rPr>
            <w:rFonts w:ascii="Verdana" w:eastAsia="Times New Roman" w:hAnsi="Verdana" w:cs="Arial"/>
            <w:color w:val="428BCA"/>
            <w:sz w:val="18"/>
            <w:szCs w:val="18"/>
            <w:u w:val="single"/>
            <w:lang w:eastAsia="ru-RU"/>
          </w:rPr>
          <w:t>https://pb.nalog.ru/</w:t>
        </w:r>
      </w:hyperlink>
      <w:r w:rsidRPr="007F4779">
        <w:rPr>
          <w:rFonts w:ascii="Verdana" w:eastAsia="Times New Roman" w:hAnsi="Verdana" w:cs="Arial"/>
          <w:color w:val="3C3C3C"/>
          <w:sz w:val="18"/>
          <w:szCs w:val="18"/>
          <w:lang w:eastAsia="ru-RU"/>
        </w:rPr>
        <w:t>, а также посредством использования различных агрегаторов информации.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Анализ профилей служащих (работников) и участников закупок, полученных по результатам аналитической работы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4.15.По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4.16.Для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23" w:history="1">
        <w:r w:rsidRPr="007F4779">
          <w:rPr>
            <w:rFonts w:ascii="Verdana" w:eastAsia="Times New Roman" w:hAnsi="Verdana" w:cs="Arial"/>
            <w:color w:val="428BCA"/>
            <w:sz w:val="18"/>
            <w:szCs w:val="18"/>
            <w:u w:val="single"/>
            <w:lang w:eastAsia="ru-RU"/>
          </w:rPr>
          <w:t>http://zakupki.gov.ru/</w:t>
        </w:r>
      </w:hyperlink>
      <w:r w:rsidRPr="007F4779">
        <w:rPr>
          <w:rFonts w:ascii="Verdana" w:eastAsia="Times New Roman" w:hAnsi="Verdana" w:cs="Arial"/>
          <w:color w:val="3C3C3C"/>
          <w:sz w:val="18"/>
          <w:szCs w:val="18"/>
          <w:lang w:eastAsia="ru-RU"/>
        </w:rPr>
        <w:t> либо получена с учетом положений пункта 2.4 настоящих Методических рекомендаций.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4.17.Также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4.18.В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4.19.Достаточная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4.20.Отдельное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Также в соответствии с частью 2 статьи 101 </w:t>
      </w:r>
      <w:hyperlink r:id="rId24" w:history="1">
        <w:r w:rsidRPr="007F4779">
          <w:rPr>
            <w:rFonts w:ascii="Verdana" w:eastAsia="Times New Roman" w:hAnsi="Verdana" w:cs="Arial"/>
            <w:color w:val="428BCA"/>
            <w:sz w:val="18"/>
            <w:szCs w:val="18"/>
            <w:u w:val="single"/>
            <w:lang w:eastAsia="ru-RU"/>
          </w:rPr>
          <w:t>Федерального </w:t>
        </w:r>
      </w:hyperlink>
      <w:hyperlink r:id="rId25" w:history="1">
        <w:r w:rsidRPr="007F4779">
          <w:rPr>
            <w:rFonts w:ascii="Verdana" w:eastAsia="Times New Roman" w:hAnsi="Verdana" w:cs="Arial"/>
            <w:color w:val="428BCA"/>
            <w:sz w:val="18"/>
            <w:szCs w:val="18"/>
            <w:u w:val="single"/>
            <w:lang w:eastAsia="ru-RU"/>
          </w:rPr>
          <w:t>закона № 44-ФЗ</w:t>
        </w:r>
      </w:hyperlink>
      <w:r w:rsidRPr="007F4779">
        <w:rPr>
          <w:rFonts w:ascii="Verdana" w:eastAsia="Times New Roman" w:hAnsi="Verdana" w:cs="Arial"/>
          <w:color w:val="3C3C3C"/>
          <w:sz w:val="18"/>
          <w:szCs w:val="18"/>
          <w:lang w:eastAsia="ru-RU"/>
        </w:rPr>
        <w:t>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заказчик самостоятельно принимает решение о способах осуществления указанного контроля.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4.21.Для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4.22.Предметом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необходимо учитывать, что в соответствии с пунктом 1 статьи 706 </w:t>
      </w:r>
      <w:hyperlink r:id="rId26" w:history="1">
        <w:r w:rsidRPr="007F4779">
          <w:rPr>
            <w:rFonts w:ascii="Verdana" w:eastAsia="Times New Roman" w:hAnsi="Verdana" w:cs="Arial"/>
            <w:color w:val="428BCA"/>
            <w:sz w:val="18"/>
            <w:szCs w:val="18"/>
            <w:u w:val="single"/>
            <w:lang w:eastAsia="ru-RU"/>
          </w:rPr>
          <w:t>Гражданского кодекса Российской Федерации</w:t>
        </w:r>
      </w:hyperlink>
      <w:r w:rsidRPr="007F4779">
        <w:rPr>
          <w:rFonts w:ascii="Verdana" w:eastAsia="Times New Roman" w:hAnsi="Verdana" w:cs="Arial"/>
          <w:color w:val="3C3C3C"/>
          <w:sz w:val="18"/>
          <w:szCs w:val="18"/>
          <w:lang w:eastAsia="ru-RU"/>
        </w:rPr>
        <w:t>,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4.23.Помимо указанного анализа также может быть проведена проверка для целей установления фактов нарушений положений Федерального закона№273-ФЗ,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5. Особенности построения работы в отдельных категориях организаций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5.1.При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w:t>
      </w:r>
      <w:hyperlink r:id="rId27" w:history="1">
        <w:r w:rsidRPr="007F4779">
          <w:rPr>
            <w:rFonts w:ascii="Verdana" w:eastAsia="Times New Roman" w:hAnsi="Verdana" w:cs="Arial"/>
            <w:color w:val="428BCA"/>
            <w:sz w:val="18"/>
            <w:szCs w:val="18"/>
            <w:u w:val="single"/>
            <w:lang w:eastAsia="ru-RU"/>
          </w:rPr>
          <w:t>Федерального закона № 273-ФЗ</w:t>
        </w:r>
      </w:hyperlink>
      <w:r w:rsidRPr="007F4779">
        <w:rPr>
          <w:rFonts w:ascii="Verdana" w:eastAsia="Times New Roman" w:hAnsi="Verdana" w:cs="Arial"/>
          <w:color w:val="3C3C3C"/>
          <w:sz w:val="18"/>
          <w:szCs w:val="18"/>
          <w:lang w:eastAsia="ru-RU"/>
        </w:rPr>
        <w:t>.</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и(или) описание.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5.2.При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5.3.В указанном положении прописываются аспекты, связанные со следующим: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-предупреждение конфликта интересов, то есть система антикоррупционных мер, затрудняющих попадание работника в ситуацию конфликта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5.4.В этой связи в рассматриваемом положении могут быть предусмотрены следующие структурные единицы (разделы):</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цели и задачи принятия положения;</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круг лиц, попадающих под его действие;</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основные используемые понятия и определения (в том числе понятия "личная заинтересованность", "конфликт интересов", "связанные лица" и иные);</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принципы раскрытия и урегулирования конфликта интересов в организации;</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действия работников в связи с предупреждением, раскрытием и урегулированием конфликта интересов и порядок их осуществления;</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порядок раскрытия конфликта интересов (декларирования);</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порядок рассмотрения деклараций и урегулирования конфликта интересов;</w:t>
      </w:r>
    </w:p>
    <w:p w:rsidR="007F4779" w:rsidRPr="007F4779" w:rsidRDefault="007F4779" w:rsidP="007F4779">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меры ответственности.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5.5.В основу рассматриваемой работы в отдельных категориях организаций могут быть положены следующие принципы:</w:t>
      </w:r>
    </w:p>
    <w:p w:rsidR="007F4779" w:rsidRPr="007F4779" w:rsidRDefault="007F4779" w:rsidP="007F4779">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раскрытие сведений о реальном или потенциальном конфликте интересов, личной заинтересованности;</w:t>
      </w:r>
    </w:p>
    <w:p w:rsidR="007F4779" w:rsidRPr="007F4779" w:rsidRDefault="007F4779" w:rsidP="007F4779">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индивидуальное рассмотрение и оценка репутационных рисков для организации при выявлении личной заинтересованности работника;</w:t>
      </w:r>
    </w:p>
    <w:p w:rsidR="007F4779" w:rsidRPr="007F4779" w:rsidRDefault="007F4779" w:rsidP="007F4779">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конфиденциальность процесса раскрытия сведений о личной заинтересованности и об урегулировании конфликта интересов;</w:t>
      </w:r>
    </w:p>
    <w:p w:rsidR="007F4779" w:rsidRPr="007F4779" w:rsidRDefault="007F4779" w:rsidP="007F4779">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соблюдение баланса интересов организации и работника;</w:t>
      </w:r>
    </w:p>
    <w:p w:rsidR="007F4779" w:rsidRPr="007F4779" w:rsidRDefault="007F4779" w:rsidP="007F4779">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защита работника от преследования в связи с сообщением о личной заинтересованности, которая была своевременно раскрыта работником.</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5.6.Вместе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5.7.При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br/>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Приложение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 ________________________________</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от ________________________________</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__________________________________</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(Ф.И.О., замещаемая должность)</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Декларация о возможной личной заинтересованности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Перед заполнением настоящей декларации мне разъяснено следующее:</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-содержание понятий "конфликт интересов" и "личная заинтересованность";</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-обязанность принимать меры по предотвращению и урегулированию конфликта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-ответственность за неисполнение указанной обязанности.</w:t>
      </w:r>
    </w:p>
    <w:tbl>
      <w:tblPr>
        <w:tblW w:w="9525" w:type="dxa"/>
        <w:tblCellMar>
          <w:top w:w="15" w:type="dxa"/>
          <w:left w:w="15" w:type="dxa"/>
          <w:bottom w:w="15" w:type="dxa"/>
          <w:right w:w="15" w:type="dxa"/>
        </w:tblCellMar>
        <w:tblLook w:val="04A0" w:firstRow="1" w:lastRow="0" w:firstColumn="1" w:lastColumn="0" w:noHBand="0" w:noVBand="1"/>
      </w:tblPr>
      <w:tblGrid>
        <w:gridCol w:w="194"/>
        <w:gridCol w:w="451"/>
        <w:gridCol w:w="255"/>
        <w:gridCol w:w="1818"/>
        <w:gridCol w:w="391"/>
        <w:gridCol w:w="391"/>
        <w:gridCol w:w="346"/>
        <w:gridCol w:w="5679"/>
      </w:tblGrid>
      <w:tr w:rsidR="007F4779" w:rsidRPr="007F4779" w:rsidTr="007F4779">
        <w:tc>
          <w:tcPr>
            <w:tcW w:w="19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w:t>
            </w:r>
          </w:p>
        </w:tc>
        <w:tc>
          <w:tcPr>
            <w:tcW w:w="45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25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w:t>
            </w:r>
          </w:p>
        </w:tc>
        <w:tc>
          <w:tcPr>
            <w:tcW w:w="181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20</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4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г.</w:t>
            </w:r>
          </w:p>
        </w:tc>
        <w:tc>
          <w:tcPr>
            <w:tcW w:w="567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19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45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25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81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4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5670"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(подпись и Ф.И.О. лица, представляющего сведения)</w:t>
            </w:r>
          </w:p>
        </w:tc>
      </w:tr>
    </w:tbl>
    <w:p w:rsidR="007F4779" w:rsidRPr="007F4779" w:rsidRDefault="007F4779" w:rsidP="007F477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979"/>
        <w:gridCol w:w="1187"/>
        <w:gridCol w:w="1189"/>
      </w:tblGrid>
      <w:tr w:rsidR="007F4779" w:rsidRPr="007F4779" w:rsidTr="007F4779">
        <w:tc>
          <w:tcPr>
            <w:tcW w:w="705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Да</w:t>
            </w:r>
          </w:p>
        </w:tc>
        <w:tc>
          <w:tcPr>
            <w:tcW w:w="120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b/>
                <w:bCs/>
                <w:color w:val="3C3C3C"/>
                <w:sz w:val="18"/>
                <w:szCs w:val="18"/>
                <w:lang w:eastAsia="ru-RU"/>
              </w:rPr>
              <w:t>Нет</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Владеете ли Вы или Ваши родственники прямо или как бенефициаракциями (долями, паями) или любыми другими финансовыми инструментами какой-либо организации</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Имеете ли Вы или Ваши родственники какие-либо имущественные обязательства перед какой-либо организацией</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Пользуетесь ли Вы илиВаши родственники имуществом, принадлежащим какой-либо организации</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Собираетесь ли Вы илиВаши родственники пользоваться в течение ближайшего календарного года имуществом, принадлежащим какой-либо организации</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7050" w:type="dxa"/>
            <w:shd w:val="clear" w:color="auto" w:fill="auto"/>
            <w:vAlign w:val="center"/>
            <w:hideMark/>
          </w:tcPr>
          <w:p w:rsidR="007F4779" w:rsidRPr="007F4779" w:rsidRDefault="007F4779" w:rsidP="007F4779">
            <w:pPr>
              <w:spacing w:after="150" w:line="240" w:lineRule="auto"/>
              <w:jc w:val="center"/>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200" w:type="dxa"/>
            <w:shd w:val="clear" w:color="auto" w:fill="auto"/>
            <w:vAlign w:val="center"/>
            <w:hideMark/>
          </w:tcPr>
          <w:p w:rsidR="007F4779" w:rsidRPr="007F4779" w:rsidRDefault="007F4779" w:rsidP="007F4779">
            <w:pPr>
              <w:spacing w:after="0" w:line="240" w:lineRule="auto"/>
              <w:jc w:val="center"/>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bl>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Настоящим подтверждаю, что:</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-данная декларация заполнена мною добровольно и с моего согласия;</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-я прочитал и понял все вышеуказанные вопросы;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-мои ответы и любая пояснительная информация являются полными, правдивыми и правильными.</w:t>
      </w:r>
    </w:p>
    <w:tbl>
      <w:tblPr>
        <w:tblW w:w="9525" w:type="dxa"/>
        <w:tblCellMar>
          <w:top w:w="15" w:type="dxa"/>
          <w:left w:w="15" w:type="dxa"/>
          <w:bottom w:w="15" w:type="dxa"/>
          <w:right w:w="15" w:type="dxa"/>
        </w:tblCellMar>
        <w:tblLook w:val="04A0" w:firstRow="1" w:lastRow="0" w:firstColumn="1" w:lastColumn="0" w:noHBand="0" w:noVBand="1"/>
      </w:tblPr>
      <w:tblGrid>
        <w:gridCol w:w="194"/>
        <w:gridCol w:w="451"/>
        <w:gridCol w:w="255"/>
        <w:gridCol w:w="1818"/>
        <w:gridCol w:w="391"/>
        <w:gridCol w:w="391"/>
        <w:gridCol w:w="346"/>
        <w:gridCol w:w="5679"/>
      </w:tblGrid>
      <w:tr w:rsidR="007F4779" w:rsidRPr="007F4779" w:rsidTr="007F4779">
        <w:tc>
          <w:tcPr>
            <w:tcW w:w="19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w:t>
            </w:r>
          </w:p>
        </w:tc>
        <w:tc>
          <w:tcPr>
            <w:tcW w:w="45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25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w:t>
            </w:r>
          </w:p>
        </w:tc>
        <w:tc>
          <w:tcPr>
            <w:tcW w:w="181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20</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4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г.</w:t>
            </w:r>
          </w:p>
        </w:tc>
        <w:tc>
          <w:tcPr>
            <w:tcW w:w="567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19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45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25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81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4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5670"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(подпись и Ф.И.О. лица, представляющего декларацию)</w:t>
            </w:r>
          </w:p>
        </w:tc>
      </w:tr>
    </w:tbl>
    <w:p w:rsidR="007F4779" w:rsidRPr="007F4779" w:rsidRDefault="007F4779" w:rsidP="007F4779">
      <w:pPr>
        <w:spacing w:after="0" w:line="240" w:lineRule="auto"/>
        <w:rPr>
          <w:rFonts w:ascii="Times New Roman" w:eastAsia="Times New Roman" w:hAnsi="Times New Roman" w:cs="Times New Roman"/>
          <w:vanish/>
          <w:sz w:val="24"/>
          <w:szCs w:val="24"/>
          <w:lang w:eastAsia="ru-RU"/>
        </w:rPr>
      </w:pPr>
    </w:p>
    <w:tbl>
      <w:tblPr>
        <w:tblW w:w="9525" w:type="dxa"/>
        <w:tblCellMar>
          <w:top w:w="15" w:type="dxa"/>
          <w:left w:w="15" w:type="dxa"/>
          <w:bottom w:w="15" w:type="dxa"/>
          <w:right w:w="15" w:type="dxa"/>
        </w:tblCellMar>
        <w:tblLook w:val="04A0" w:firstRow="1" w:lastRow="0" w:firstColumn="1" w:lastColumn="0" w:noHBand="0" w:noVBand="1"/>
      </w:tblPr>
      <w:tblGrid>
        <w:gridCol w:w="194"/>
        <w:gridCol w:w="451"/>
        <w:gridCol w:w="255"/>
        <w:gridCol w:w="1818"/>
        <w:gridCol w:w="391"/>
        <w:gridCol w:w="391"/>
        <w:gridCol w:w="346"/>
        <w:gridCol w:w="5679"/>
      </w:tblGrid>
      <w:tr w:rsidR="007F4779" w:rsidRPr="007F4779" w:rsidTr="007F4779">
        <w:tc>
          <w:tcPr>
            <w:tcW w:w="19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w:t>
            </w:r>
          </w:p>
        </w:tc>
        <w:tc>
          <w:tcPr>
            <w:tcW w:w="45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25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w:t>
            </w:r>
          </w:p>
        </w:tc>
        <w:tc>
          <w:tcPr>
            <w:tcW w:w="181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20</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45"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г.</w:t>
            </w:r>
          </w:p>
        </w:tc>
        <w:tc>
          <w:tcPr>
            <w:tcW w:w="567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r>
      <w:tr w:rsidR="007F4779" w:rsidRPr="007F4779" w:rsidTr="007F4779">
        <w:tc>
          <w:tcPr>
            <w:tcW w:w="19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45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25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181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90"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345" w:type="dxa"/>
            <w:shd w:val="clear" w:color="auto" w:fill="auto"/>
            <w:vAlign w:val="center"/>
            <w:hideMark/>
          </w:tcPr>
          <w:p w:rsidR="007F4779" w:rsidRPr="007F4779" w:rsidRDefault="007F4779" w:rsidP="007F4779">
            <w:pPr>
              <w:spacing w:after="0" w:line="240" w:lineRule="auto"/>
              <w:rPr>
                <w:rFonts w:ascii="Arial" w:eastAsia="Times New Roman" w:hAnsi="Arial" w:cs="Arial"/>
                <w:color w:val="3C3C3C"/>
                <w:sz w:val="21"/>
                <w:szCs w:val="21"/>
                <w:lang w:eastAsia="ru-RU"/>
              </w:rPr>
            </w:pPr>
            <w:r w:rsidRPr="007F4779">
              <w:rPr>
                <w:rFonts w:ascii="Arial" w:eastAsia="Times New Roman" w:hAnsi="Arial" w:cs="Arial"/>
                <w:color w:val="3C3C3C"/>
                <w:sz w:val="21"/>
                <w:szCs w:val="21"/>
                <w:lang w:eastAsia="ru-RU"/>
              </w:rPr>
              <w:t> </w:t>
            </w:r>
          </w:p>
        </w:tc>
        <w:tc>
          <w:tcPr>
            <w:tcW w:w="5670" w:type="dxa"/>
            <w:shd w:val="clear" w:color="auto" w:fill="auto"/>
            <w:vAlign w:val="center"/>
            <w:hideMark/>
          </w:tcPr>
          <w:p w:rsidR="007F4779" w:rsidRPr="007F4779" w:rsidRDefault="007F4779" w:rsidP="007F4779">
            <w:pPr>
              <w:spacing w:after="150" w:line="240" w:lineRule="auto"/>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(подпись и Ф.И.О. лица, принявшего декларацию)</w:t>
            </w:r>
          </w:p>
        </w:tc>
      </w:tr>
    </w:tbl>
    <w:bookmarkStart w:id="0" w:name="_ftn1"/>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"_ftnref1"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[1]</w:t>
      </w:r>
      <w:r w:rsidRPr="007F4779">
        <w:rPr>
          <w:rFonts w:ascii="Verdana" w:eastAsia="Times New Roman" w:hAnsi="Verdana" w:cs="Arial"/>
          <w:color w:val="3C3C3C"/>
          <w:sz w:val="18"/>
          <w:szCs w:val="18"/>
          <w:lang w:eastAsia="ru-RU"/>
        </w:rPr>
        <w:fldChar w:fldCharType="end"/>
      </w:r>
      <w:bookmarkEnd w:id="0"/>
      <w:r w:rsidRPr="007F4779">
        <w:rPr>
          <w:rFonts w:ascii="Verdana" w:eastAsia="Times New Roman" w:hAnsi="Verdana" w:cs="Arial"/>
          <w:color w:val="3C3C3C"/>
          <w:sz w:val="18"/>
          <w:szCs w:val="18"/>
          <w:lang w:eastAsia="ru-RU"/>
        </w:rPr>
        <w:t>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bookmarkStart w:id="1" w:name="_ftn2"/>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"_ftnref2"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[2]</w:t>
      </w:r>
      <w:r w:rsidRPr="007F4779">
        <w:rPr>
          <w:rFonts w:ascii="Verdana" w:eastAsia="Times New Roman" w:hAnsi="Verdana" w:cs="Arial"/>
          <w:color w:val="3C3C3C"/>
          <w:sz w:val="18"/>
          <w:szCs w:val="18"/>
          <w:lang w:eastAsia="ru-RU"/>
        </w:rPr>
        <w:fldChar w:fldCharType="end"/>
      </w:r>
      <w:bookmarkEnd w:id="1"/>
      <w:r w:rsidRPr="007F4779">
        <w:rPr>
          <w:rFonts w:ascii="Verdana" w:eastAsia="Times New Roman" w:hAnsi="Verdana" w:cs="Arial"/>
          <w:color w:val="3C3C3C"/>
          <w:sz w:val="18"/>
          <w:szCs w:val="18"/>
          <w:lang w:eastAsia="ru-RU"/>
        </w:rPr>
        <w: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w:t>
      </w:r>
      <w:hyperlink r:id="rId28" w:history="1">
        <w:r w:rsidRPr="007F4779">
          <w:rPr>
            <w:rFonts w:ascii="Verdana" w:eastAsia="Times New Roman" w:hAnsi="Verdana" w:cs="Arial"/>
            <w:color w:val="428BCA"/>
            <w:sz w:val="18"/>
            <w:szCs w:val="18"/>
            <w:u w:val="single"/>
            <w:lang w:eastAsia="ru-RU"/>
          </w:rPr>
          <w:t>https://rosmintrud.ru/ministry/programms/anticorruption/9/15</w:t>
        </w:r>
      </w:hyperlink>
      <w:r w:rsidRPr="007F4779">
        <w:rPr>
          <w:rFonts w:ascii="Verdana" w:eastAsia="Times New Roman" w:hAnsi="Verdana" w:cs="Arial"/>
          <w:color w:val="3C3C3C"/>
          <w:sz w:val="18"/>
          <w:szCs w:val="18"/>
          <w:lang w:eastAsia="ru-RU"/>
        </w:rPr>
        <w:t>.</w:t>
      </w:r>
    </w:p>
    <w:bookmarkStart w:id="2" w:name="_ftn3"/>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"_ftnref3"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[3]</w:t>
      </w:r>
      <w:r w:rsidRPr="007F4779">
        <w:rPr>
          <w:rFonts w:ascii="Verdana" w:eastAsia="Times New Roman" w:hAnsi="Verdana" w:cs="Arial"/>
          <w:color w:val="3C3C3C"/>
          <w:sz w:val="18"/>
          <w:szCs w:val="18"/>
          <w:lang w:eastAsia="ru-RU"/>
        </w:rPr>
        <w:fldChar w:fldCharType="end"/>
      </w:r>
      <w:bookmarkEnd w:id="2"/>
      <w:r w:rsidRPr="007F4779">
        <w:rPr>
          <w:rFonts w:ascii="Verdana" w:eastAsia="Times New Roman" w:hAnsi="Verdana" w:cs="Arial"/>
          <w:color w:val="3C3C3C"/>
          <w:sz w:val="18"/>
          <w:szCs w:val="18"/>
          <w:lang w:eastAsia="ru-RU"/>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w:t>
      </w:r>
    </w:p>
    <w:bookmarkStart w:id="3" w:name="_ftn4"/>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"_ftnref4"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[4]</w:t>
      </w:r>
      <w:r w:rsidRPr="007F4779">
        <w:rPr>
          <w:rFonts w:ascii="Verdana" w:eastAsia="Times New Roman" w:hAnsi="Verdana" w:cs="Arial"/>
          <w:color w:val="3C3C3C"/>
          <w:sz w:val="18"/>
          <w:szCs w:val="18"/>
          <w:lang w:eastAsia="ru-RU"/>
        </w:rPr>
        <w:fldChar w:fldCharType="end"/>
      </w:r>
      <w:bookmarkEnd w:id="3"/>
      <w:r w:rsidRPr="007F4779">
        <w:rPr>
          <w:rFonts w:ascii="Verdana" w:eastAsia="Times New Roman" w:hAnsi="Verdana" w:cs="Arial"/>
          <w:color w:val="3C3C3C"/>
          <w:sz w:val="18"/>
          <w:szCs w:val="18"/>
          <w:lang w:eastAsia="ru-RU"/>
        </w:rPr>
        <w:t>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 44-ФЗ).</w:t>
      </w:r>
    </w:p>
    <w:bookmarkStart w:id="4" w:name="_ftn5"/>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"_ftnref5"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[5]</w:t>
      </w:r>
      <w:r w:rsidRPr="007F4779">
        <w:rPr>
          <w:rFonts w:ascii="Verdana" w:eastAsia="Times New Roman" w:hAnsi="Verdana" w:cs="Arial"/>
          <w:color w:val="3C3C3C"/>
          <w:sz w:val="18"/>
          <w:szCs w:val="18"/>
          <w:lang w:eastAsia="ru-RU"/>
        </w:rPr>
        <w:fldChar w:fldCharType="end"/>
      </w:r>
      <w:bookmarkEnd w:id="4"/>
      <w:r w:rsidRPr="007F4779">
        <w:rPr>
          <w:rFonts w:ascii="Verdana" w:eastAsia="Times New Roman" w:hAnsi="Verdana" w:cs="Arial"/>
          <w:color w:val="3C3C3C"/>
          <w:sz w:val="18"/>
          <w:szCs w:val="18"/>
          <w:lang w:eastAsia="ru-RU"/>
        </w:rPr>
        <w: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w:t>
      </w:r>
      <w:hyperlink r:id="rId29" w:history="1">
        <w:r w:rsidRPr="007F4779">
          <w:rPr>
            <w:rFonts w:ascii="Verdana" w:eastAsia="Times New Roman" w:hAnsi="Verdana" w:cs="Arial"/>
            <w:color w:val="428BCA"/>
            <w:sz w:val="18"/>
            <w:szCs w:val="18"/>
            <w:u w:val="single"/>
            <w:lang w:eastAsia="ru-RU"/>
          </w:rPr>
          <w:t>http://zachestnyezakupki.onf.ru/Public/Knowledge?category=GrayScheme</w:t>
        </w:r>
      </w:hyperlink>
      <w:r w:rsidRPr="007F4779">
        <w:rPr>
          <w:rFonts w:ascii="Verdana" w:eastAsia="Times New Roman" w:hAnsi="Verdana" w:cs="Arial"/>
          <w:color w:val="3C3C3C"/>
          <w:sz w:val="18"/>
          <w:szCs w:val="18"/>
          <w:lang w:eastAsia="ru-RU"/>
        </w:rPr>
        <w:t>.</w:t>
      </w:r>
    </w:p>
    <w:bookmarkStart w:id="5" w:name="_ftn6"/>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lastRenderedPageBreak/>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"_ftnref6"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[6]</w:t>
      </w:r>
      <w:r w:rsidRPr="007F4779">
        <w:rPr>
          <w:rFonts w:ascii="Verdana" w:eastAsia="Times New Roman" w:hAnsi="Verdana" w:cs="Arial"/>
          <w:color w:val="3C3C3C"/>
          <w:sz w:val="18"/>
          <w:szCs w:val="18"/>
          <w:lang w:eastAsia="ru-RU"/>
        </w:rPr>
        <w:fldChar w:fldCharType="end"/>
      </w:r>
      <w:bookmarkEnd w:id="5"/>
      <w:r w:rsidRPr="007F4779">
        <w:rPr>
          <w:rFonts w:ascii="Verdana" w:eastAsia="Times New Roman" w:hAnsi="Verdana" w:cs="Arial"/>
          <w:color w:val="3C3C3C"/>
          <w:sz w:val="18"/>
          <w:szCs w:val="18"/>
          <w:lang w:eastAsia="ru-RU"/>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№1065.</w:t>
      </w:r>
    </w:p>
    <w:bookmarkStart w:id="6" w:name="_ftn7"/>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"_ftnref7"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[7]</w:t>
      </w:r>
      <w:r w:rsidRPr="007F4779">
        <w:rPr>
          <w:rFonts w:ascii="Verdana" w:eastAsia="Times New Roman" w:hAnsi="Verdana" w:cs="Arial"/>
          <w:color w:val="3C3C3C"/>
          <w:sz w:val="18"/>
          <w:szCs w:val="18"/>
          <w:lang w:eastAsia="ru-RU"/>
        </w:rPr>
        <w:fldChar w:fldCharType="end"/>
      </w:r>
      <w:bookmarkEnd w:id="6"/>
      <w:r w:rsidRPr="007F4779">
        <w:rPr>
          <w:rFonts w:ascii="Verdana" w:eastAsia="Times New Roman" w:hAnsi="Verdana" w:cs="Arial"/>
          <w:color w:val="3C3C3C"/>
          <w:sz w:val="18"/>
          <w:szCs w:val="18"/>
          <w:lang w:eastAsia="ru-RU"/>
        </w:rPr>
        <w:t>Часть 23 статьи 34 Федерального закона № 44-ФЗ во взаимосвязи с 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 млрд. рублей - при осуществлении закупки для обеспечения федеральных нужд;</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100 млн. рублей - при осуществлении закупки для обеспечения нужд субъекта Российской Федерации и муниципальных нужд.</w:t>
      </w:r>
    </w:p>
    <w:bookmarkStart w:id="7" w:name="_ftn8"/>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"_ftnref8"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[8]</w:t>
      </w:r>
      <w:r w:rsidRPr="007F4779">
        <w:rPr>
          <w:rFonts w:ascii="Verdana" w:eastAsia="Times New Roman" w:hAnsi="Verdana" w:cs="Arial"/>
          <w:color w:val="3C3C3C"/>
          <w:sz w:val="18"/>
          <w:szCs w:val="18"/>
          <w:lang w:eastAsia="ru-RU"/>
        </w:rPr>
        <w:fldChar w:fldCharType="end"/>
      </w:r>
      <w:bookmarkEnd w:id="7"/>
      <w:r w:rsidRPr="007F4779">
        <w:rPr>
          <w:rFonts w:ascii="Verdana" w:eastAsia="Times New Roman" w:hAnsi="Verdana" w:cs="Arial"/>
          <w:color w:val="3C3C3C"/>
          <w:sz w:val="18"/>
          <w:szCs w:val="18"/>
          <w:lang w:eastAsia="ru-RU"/>
        </w:rPr>
        <w:t>См., например, часть 29.1 статьи 34 Федерального закона № 44-ФЗ; 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bookmarkStart w:id="8" w:name="_ftn9"/>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"_ftnref9"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[9]</w:t>
      </w:r>
      <w:r w:rsidRPr="007F4779">
        <w:rPr>
          <w:rFonts w:ascii="Verdana" w:eastAsia="Times New Roman" w:hAnsi="Verdana" w:cs="Arial"/>
          <w:color w:val="3C3C3C"/>
          <w:sz w:val="18"/>
          <w:szCs w:val="18"/>
          <w:lang w:eastAsia="ru-RU"/>
        </w:rPr>
        <w:fldChar w:fldCharType="end"/>
      </w:r>
      <w:bookmarkEnd w:id="8"/>
      <w:r w:rsidRPr="007F4779">
        <w:rPr>
          <w:rFonts w:ascii="Verdana" w:eastAsia="Times New Roman" w:hAnsi="Verdana" w:cs="Arial"/>
          <w:color w:val="3C3C3C"/>
          <w:sz w:val="18"/>
          <w:szCs w:val="18"/>
          <w:lang w:eastAsia="ru-RU"/>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bookmarkStart w:id="9" w:name="_ftn10"/>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"_ftnref10"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[10]</w:t>
      </w:r>
      <w:r w:rsidRPr="007F4779">
        <w:rPr>
          <w:rFonts w:ascii="Verdana" w:eastAsia="Times New Roman" w:hAnsi="Verdana" w:cs="Arial"/>
          <w:color w:val="3C3C3C"/>
          <w:sz w:val="18"/>
          <w:szCs w:val="18"/>
          <w:lang w:eastAsia="ru-RU"/>
        </w:rPr>
        <w:fldChar w:fldCharType="end"/>
      </w:r>
      <w:bookmarkEnd w:id="9"/>
      <w:r w:rsidRPr="007F4779">
        <w:rPr>
          <w:rFonts w:ascii="Verdana" w:eastAsia="Times New Roman" w:hAnsi="Verdana" w:cs="Arial"/>
          <w:color w:val="3C3C3C"/>
          <w:sz w:val="18"/>
          <w:szCs w:val="18"/>
          <w:lang w:eastAsia="ru-RU"/>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bookmarkStart w:id="10" w:name="_ftn11"/>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fldChar w:fldCharType="begin"/>
      </w:r>
      <w:r w:rsidRPr="007F4779">
        <w:rPr>
          <w:rFonts w:ascii="Verdana" w:eastAsia="Times New Roman" w:hAnsi="Verdana" w:cs="Arial"/>
          <w:color w:val="3C3C3C"/>
          <w:sz w:val="18"/>
          <w:szCs w:val="18"/>
          <w:lang w:eastAsia="ru-RU"/>
        </w:rPr>
        <w:instrText xml:space="preserve"> HYPERLINK "https://ermolinoadm.ru/metodicheskie-rekomendatcii-po-provedeniyu-v-federal-nykh-gosudarstvennykh-organakh-organakh-gosudarstvennoy-vlasti-sub-ektov-rossiyskoy-federatcii.html" \l "_ftnref11" </w:instrText>
      </w:r>
      <w:r w:rsidRPr="007F4779">
        <w:rPr>
          <w:rFonts w:ascii="Verdana" w:eastAsia="Times New Roman" w:hAnsi="Verdana" w:cs="Arial"/>
          <w:color w:val="3C3C3C"/>
          <w:sz w:val="18"/>
          <w:szCs w:val="18"/>
          <w:lang w:eastAsia="ru-RU"/>
        </w:rPr>
        <w:fldChar w:fldCharType="separate"/>
      </w:r>
      <w:r w:rsidRPr="007F4779">
        <w:rPr>
          <w:rFonts w:ascii="Verdana" w:eastAsia="Times New Roman" w:hAnsi="Verdana" w:cs="Arial"/>
          <w:color w:val="428BCA"/>
          <w:sz w:val="18"/>
          <w:szCs w:val="18"/>
          <w:u w:val="single"/>
          <w:lang w:eastAsia="ru-RU"/>
        </w:rPr>
        <w:t>[11]</w:t>
      </w:r>
      <w:r w:rsidRPr="007F4779">
        <w:rPr>
          <w:rFonts w:ascii="Verdana" w:eastAsia="Times New Roman" w:hAnsi="Verdana" w:cs="Arial"/>
          <w:color w:val="3C3C3C"/>
          <w:sz w:val="18"/>
          <w:szCs w:val="18"/>
          <w:lang w:eastAsia="ru-RU"/>
        </w:rPr>
        <w:fldChar w:fldCharType="end"/>
      </w:r>
      <w:bookmarkEnd w:id="10"/>
      <w:r w:rsidRPr="007F4779">
        <w:rPr>
          <w:rFonts w:ascii="Verdana" w:eastAsia="Times New Roman" w:hAnsi="Verdana" w:cs="Arial"/>
          <w:color w:val="3C3C3C"/>
          <w:sz w:val="18"/>
          <w:szCs w:val="18"/>
          <w:lang w:eastAsia="ru-RU"/>
        </w:rPr>
        <w: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0" w:history="1">
        <w:r w:rsidRPr="007F4779">
          <w:rPr>
            <w:rFonts w:ascii="Verdana" w:eastAsia="Times New Roman" w:hAnsi="Verdana" w:cs="Arial"/>
            <w:color w:val="428BCA"/>
            <w:sz w:val="18"/>
            <w:szCs w:val="18"/>
            <w:u w:val="single"/>
            <w:lang w:eastAsia="ru-RU"/>
          </w:rPr>
          <w:t>https://rosmintrud.ru/ministry/programms/anticorruption/015</w:t>
        </w:r>
      </w:hyperlink>
      <w:r w:rsidRPr="007F4779">
        <w:rPr>
          <w:rFonts w:ascii="Verdana" w:eastAsia="Times New Roman" w:hAnsi="Verdana" w:cs="Arial"/>
          <w:color w:val="3C3C3C"/>
          <w:sz w:val="18"/>
          <w:szCs w:val="18"/>
          <w:lang w:eastAsia="ru-RU"/>
        </w:rPr>
        <w:t>.</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bookmarkStart w:id="11" w:name="_ftn12"/>
      <w:bookmarkEnd w:id="11"/>
      <w:r w:rsidRPr="007F4779">
        <w:rPr>
          <w:rFonts w:ascii="Verdana" w:eastAsia="Times New Roman" w:hAnsi="Verdana" w:cs="Arial"/>
          <w:color w:val="3C3C3C"/>
          <w:sz w:val="14"/>
          <w:szCs w:val="14"/>
          <w:vertAlign w:val="superscript"/>
          <w:lang w:eastAsia="ru-RU"/>
        </w:rPr>
        <w:t>1</w:t>
      </w:r>
      <w:r w:rsidRPr="007F4779">
        <w:rPr>
          <w:rFonts w:ascii="Verdana" w:eastAsia="Times New Roman" w:hAnsi="Verdana" w:cs="Arial"/>
          <w:color w:val="3C3C3C"/>
          <w:sz w:val="18"/>
          <w:szCs w:val="18"/>
          <w:lang w:eastAsia="ru-RU"/>
        </w:rPr>
        <w:t>[12]Настоящаядекларация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r w:rsidRPr="007F4779">
        <w:rPr>
          <w:rFonts w:ascii="Verdana" w:eastAsia="Times New Roman" w:hAnsi="Verdana" w:cs="Arial"/>
          <w:color w:val="3C3C3C"/>
          <w:sz w:val="18"/>
          <w:szCs w:val="18"/>
          <w:lang w:eastAsia="ru-RU"/>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7F4779" w:rsidRPr="007F4779" w:rsidRDefault="007F4779" w:rsidP="007F4779">
      <w:pPr>
        <w:spacing w:after="150" w:line="240" w:lineRule="auto"/>
        <w:jc w:val="both"/>
        <w:rPr>
          <w:rFonts w:ascii="Arial" w:eastAsia="Times New Roman" w:hAnsi="Arial" w:cs="Arial"/>
          <w:color w:val="3C3C3C"/>
          <w:sz w:val="21"/>
          <w:szCs w:val="21"/>
          <w:lang w:eastAsia="ru-RU"/>
        </w:rPr>
      </w:pPr>
      <w:bookmarkStart w:id="12" w:name="_ftn13"/>
      <w:bookmarkEnd w:id="12"/>
      <w:r w:rsidRPr="007F4779">
        <w:rPr>
          <w:rFonts w:ascii="Verdana" w:eastAsia="Times New Roman" w:hAnsi="Verdana" w:cs="Arial"/>
          <w:color w:val="3C3C3C"/>
          <w:sz w:val="14"/>
          <w:szCs w:val="14"/>
          <w:vertAlign w:val="superscript"/>
          <w:lang w:eastAsia="ru-RU"/>
        </w:rPr>
        <w:t>2</w:t>
      </w:r>
      <w:r w:rsidRPr="007F4779">
        <w:rPr>
          <w:rFonts w:ascii="Verdana" w:eastAsia="Times New Roman" w:hAnsi="Verdana" w:cs="Arial"/>
          <w:color w:val="3C3C3C"/>
          <w:sz w:val="18"/>
          <w:szCs w:val="18"/>
          <w:lang w:eastAsia="ru-RU"/>
        </w:rPr>
        <w:t>[13]Бенефициар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0F5668" w:rsidRDefault="000F5668">
      <w:bookmarkStart w:id="13" w:name="_GoBack"/>
      <w:bookmarkEnd w:id="13"/>
    </w:p>
    <w:sectPr w:rsidR="000F5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8FD"/>
    <w:multiLevelType w:val="multilevel"/>
    <w:tmpl w:val="98C4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763D1"/>
    <w:multiLevelType w:val="multilevel"/>
    <w:tmpl w:val="07B8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79"/>
    <w:rsid w:val="000F5668"/>
    <w:rsid w:val="007F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8FC68-B199-4790-9FED-D61F3F60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4779"/>
    <w:rPr>
      <w:b/>
      <w:bCs/>
    </w:rPr>
  </w:style>
  <w:style w:type="character" w:styleId="a5">
    <w:name w:val="Hyperlink"/>
    <w:basedOn w:val="a0"/>
    <w:uiPriority w:val="99"/>
    <w:semiHidden/>
    <w:unhideWhenUsed/>
    <w:rsid w:val="007F4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zakupki.gov.ru/" TargetMode="External"/><Relationship Id="rId18" Type="http://schemas.openxmlformats.org/officeDocument/2006/relationships/hyperlink" Target="http://www.consultant.ru/document/cons_doc_LAW_5142/" TargetMode="External"/><Relationship Id="rId26" Type="http://schemas.openxmlformats.org/officeDocument/2006/relationships/hyperlink" Target="http://www.consultant.ru/document/cons_doc_LAW_5142/" TargetMode="External"/><Relationship Id="rId3" Type="http://schemas.openxmlformats.org/officeDocument/2006/relationships/settings" Target="settings.xml"/><Relationship Id="rId21" Type="http://schemas.openxmlformats.org/officeDocument/2006/relationships/hyperlink" Target="http://www.consultant.ru/document/cons_doc_LAW_116964/" TargetMode="External"/><Relationship Id="rId7" Type="http://schemas.openxmlformats.org/officeDocument/2006/relationships/hyperlink" Target="http://www.consultant.ru/document/cons_doc_LAW_140174/" TargetMode="External"/><Relationship Id="rId12" Type="http://schemas.openxmlformats.org/officeDocument/2006/relationships/hyperlink" Target="http://www.consultant.ru/document/cons_doc_LAW_116964/" TargetMode="External"/><Relationship Id="rId17" Type="http://schemas.openxmlformats.org/officeDocument/2006/relationships/hyperlink" Target="http://www.consultant.ru/document/cons_doc_LAW_28399/" TargetMode="External"/><Relationship Id="rId25" Type="http://schemas.openxmlformats.org/officeDocument/2006/relationships/hyperlink" Target="http://www.consultant.ru/document/cons_doc_LAW_144624/" TargetMode="External"/><Relationship Id="rId2" Type="http://schemas.openxmlformats.org/officeDocument/2006/relationships/styles" Target="styles.xml"/><Relationship Id="rId16" Type="http://schemas.openxmlformats.org/officeDocument/2006/relationships/hyperlink" Target="http://www.consultant.ru/document/cons_doc_LAW_140174/" TargetMode="External"/><Relationship Id="rId20" Type="http://schemas.openxmlformats.org/officeDocument/2006/relationships/hyperlink" Target="http://www.consultant.ru/document/cons_doc_LAW_116964/" TargetMode="External"/><Relationship Id="rId29" Type="http://schemas.openxmlformats.org/officeDocument/2006/relationships/hyperlink" Target="http://zachestnyezakupki.onf.ru/Public/Knowledge?category=GrayScheme" TargetMode="External"/><Relationship Id="rId1" Type="http://schemas.openxmlformats.org/officeDocument/2006/relationships/numbering" Target="numbering.xml"/><Relationship Id="rId6" Type="http://schemas.openxmlformats.org/officeDocument/2006/relationships/hyperlink" Target="http://www.consultant.ru/document/cons_doc_LAW_140174/" TargetMode="External"/><Relationship Id="rId11" Type="http://schemas.openxmlformats.org/officeDocument/2006/relationships/hyperlink" Target="http://www.consultant.ru/document/cons_doc_LAW_144624/" TargetMode="External"/><Relationship Id="rId24" Type="http://schemas.openxmlformats.org/officeDocument/2006/relationships/hyperlink" Target="http://www.consultant.ru/document/cons_doc_LAW_144624/" TargetMode="External"/><Relationship Id="rId32" Type="http://schemas.openxmlformats.org/officeDocument/2006/relationships/theme" Target="theme/theme1.xml"/><Relationship Id="rId5" Type="http://schemas.openxmlformats.org/officeDocument/2006/relationships/hyperlink" Target="http://www.consultant.ru/document/cons_doc_LAW_144624/" TargetMode="External"/><Relationship Id="rId15" Type="http://schemas.openxmlformats.org/officeDocument/2006/relationships/hyperlink" Target="http://www.consultant.ru/document/cons_doc_LAW_140174/" TargetMode="External"/><Relationship Id="rId23" Type="http://schemas.openxmlformats.org/officeDocument/2006/relationships/hyperlink" Target="http://zakupki.gov.ru/" TargetMode="External"/><Relationship Id="rId28" Type="http://schemas.openxmlformats.org/officeDocument/2006/relationships/hyperlink" Target="https://rosmintrud.ru/ministry/programms/anticorruption/9/15" TargetMode="External"/><Relationship Id="rId10" Type="http://schemas.openxmlformats.org/officeDocument/2006/relationships/hyperlink" Target="https://rosmintrud.ru/ministry/programms/anticorruption/9/13" TargetMode="External"/><Relationship Id="rId19" Type="http://schemas.openxmlformats.org/officeDocument/2006/relationships/hyperlink" Target="http://www.consultant.ru/document/cons_doc_LAW_11696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16964/" TargetMode="External"/><Relationship Id="rId14" Type="http://schemas.openxmlformats.org/officeDocument/2006/relationships/hyperlink" Target="http://www.consultant.ru/document/cons_doc_LAW_144624/" TargetMode="External"/><Relationship Id="rId22" Type="http://schemas.openxmlformats.org/officeDocument/2006/relationships/hyperlink" Target="https://pb.nalog.ru/" TargetMode="External"/><Relationship Id="rId27" Type="http://schemas.openxmlformats.org/officeDocument/2006/relationships/hyperlink" Target="http://www.consultant.ru/document/cons_doc_LAW_140174/" TargetMode="External"/><Relationship Id="rId30" Type="http://schemas.openxmlformats.org/officeDocument/2006/relationships/hyperlink" Target="https://rosmintrud.ru/ministry/programms/anticorruption/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8801</Words>
  <Characters>50169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2023-02-08T11:26:00Z</dcterms:created>
  <dcterms:modified xsi:type="dcterms:W3CDTF">2023-02-08T11:27:00Z</dcterms:modified>
</cp:coreProperties>
</file>