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70" w:rsidRDefault="00CC5601" w:rsidP="00166373">
      <w:pPr>
        <w:spacing w:after="0" w:line="240" w:lineRule="auto"/>
        <w:ind w:left="1418" w:hanging="1418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5715</wp:posOffset>
            </wp:positionV>
            <wp:extent cx="765810" cy="914400"/>
            <wp:effectExtent l="1905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CC5601">
      <w:pPr>
        <w:spacing w:after="120" w:line="240" w:lineRule="auto"/>
        <w:ind w:left="709" w:right="284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Pr="000E0CFC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F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011B70" w:rsidRPr="000E0CFC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 w:rsidRPr="000E0CFC">
        <w:rPr>
          <w:rFonts w:ascii="Times New Roman" w:eastAsia="Tunga" w:hAnsi="Times New Roman" w:cs="Times New Roman"/>
          <w:color w:val="000000"/>
          <w:sz w:val="28"/>
          <w:szCs w:val="28"/>
        </w:rPr>
        <w:t>Новгородская область Новгородский район</w:t>
      </w:r>
    </w:p>
    <w:p w:rsidR="00011B70" w:rsidRPr="000E0CFC" w:rsidRDefault="000E0CFC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CF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Ермолинского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 w:rsidR="001767F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203BF">
        <w:rPr>
          <w:rFonts w:ascii="Times New Roman" w:eastAsia="Tunga" w:hAnsi="Times New Roman" w:cs="Times New Roman"/>
          <w:sz w:val="28"/>
          <w:szCs w:val="28"/>
        </w:rPr>
        <w:t>30</w:t>
      </w:r>
      <w:r w:rsidR="000E0CFC">
        <w:rPr>
          <w:rFonts w:ascii="Times New Roman" w:eastAsia="Tunga" w:hAnsi="Times New Roman" w:cs="Times New Roman"/>
          <w:sz w:val="28"/>
          <w:szCs w:val="28"/>
        </w:rPr>
        <w:t>.01.2020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</w:t>
      </w:r>
      <w:r w:rsidR="00550C45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203BF">
        <w:rPr>
          <w:rFonts w:ascii="Times New Roman" w:eastAsia="Tunga" w:hAnsi="Times New Roman" w:cs="Times New Roman"/>
          <w:sz w:val="28"/>
          <w:szCs w:val="28"/>
        </w:rPr>
        <w:t>51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0E0CFC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750C6A" w:rsidRPr="00750C6A" w:rsidRDefault="001767F2" w:rsidP="00750C6A">
      <w:pPr>
        <w:pStyle w:val="ab"/>
        <w:rPr>
          <w:rFonts w:ascii="Times New Roman" w:hAnsi="Times New Roman" w:cs="Times New Roman"/>
          <w:sz w:val="28"/>
          <w:szCs w:val="28"/>
        </w:rPr>
      </w:pPr>
      <w:r w:rsidRPr="00750C6A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750C6A" w:rsidRPr="00750C6A" w:rsidRDefault="001767F2" w:rsidP="00750C6A">
      <w:pPr>
        <w:pStyle w:val="ab"/>
        <w:rPr>
          <w:rFonts w:ascii="Times New Roman" w:hAnsi="Times New Roman" w:cs="Times New Roman"/>
          <w:sz w:val="28"/>
          <w:szCs w:val="28"/>
        </w:rPr>
      </w:pPr>
      <w:r w:rsidRPr="00750C6A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0E0CFC" w:rsidRPr="00750C6A">
        <w:rPr>
          <w:rFonts w:ascii="Times New Roman" w:hAnsi="Times New Roman" w:cs="Times New Roman"/>
          <w:sz w:val="28"/>
          <w:szCs w:val="28"/>
        </w:rPr>
        <w:t>Ермолинского</w:t>
      </w:r>
      <w:r w:rsidRPr="00750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7F2" w:rsidRPr="00750C6A" w:rsidRDefault="001767F2" w:rsidP="00750C6A">
      <w:pPr>
        <w:pStyle w:val="ab"/>
        <w:rPr>
          <w:rFonts w:ascii="Times New Roman" w:hAnsi="Times New Roman" w:cs="Times New Roman"/>
          <w:sz w:val="28"/>
          <w:szCs w:val="28"/>
        </w:rPr>
      </w:pPr>
      <w:r w:rsidRPr="00750C6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3BF" w:rsidRDefault="001767F2" w:rsidP="00F203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6A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 Администрация </w:t>
      </w:r>
      <w:r w:rsidR="000E0CFC" w:rsidRPr="00750C6A">
        <w:rPr>
          <w:rFonts w:ascii="Times New Roman" w:hAnsi="Times New Roman" w:cs="Times New Roman"/>
          <w:sz w:val="28"/>
          <w:szCs w:val="28"/>
        </w:rPr>
        <w:t>Ермолинского</w:t>
      </w:r>
      <w:r w:rsidRPr="00750C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03BF" w:rsidRDefault="00F203BF" w:rsidP="00750C6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767F2" w:rsidRPr="00750C6A" w:rsidRDefault="001767F2" w:rsidP="00750C6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203BF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50C6A">
        <w:rPr>
          <w:rFonts w:ascii="Times New Roman" w:hAnsi="Times New Roman" w:cs="Times New Roman"/>
          <w:sz w:val="28"/>
          <w:szCs w:val="28"/>
        </w:rPr>
        <w:t>:</w:t>
      </w:r>
    </w:p>
    <w:p w:rsidR="00615DF3" w:rsidRPr="00750C6A" w:rsidRDefault="00615DF3" w:rsidP="0075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7F2" w:rsidRPr="00750C6A" w:rsidRDefault="000E0CFC" w:rsidP="000E0CFC">
      <w:pPr>
        <w:pStyle w:val="a3"/>
        <w:spacing w:after="0" w:line="259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0C6A">
        <w:rPr>
          <w:rFonts w:ascii="Times New Roman" w:hAnsi="Times New Roman" w:cs="Times New Roman"/>
          <w:sz w:val="28"/>
          <w:szCs w:val="28"/>
        </w:rPr>
        <w:t xml:space="preserve">       1.</w:t>
      </w:r>
      <w:r w:rsidR="001767F2" w:rsidRPr="00750C6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формирования перечня налоговых расходов Администрации </w:t>
      </w:r>
      <w:r w:rsidRPr="00750C6A">
        <w:rPr>
          <w:rFonts w:ascii="Times New Roman" w:hAnsi="Times New Roman" w:cs="Times New Roman"/>
          <w:sz w:val="28"/>
          <w:szCs w:val="28"/>
        </w:rPr>
        <w:t>Ермолинского</w:t>
      </w:r>
      <w:r w:rsidR="001767F2" w:rsidRPr="00750C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0CFC" w:rsidRPr="00750C6A" w:rsidRDefault="000E0CFC" w:rsidP="000E0CFC">
      <w:pPr>
        <w:keepLine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0C6A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 01 января 2020 года.</w:t>
      </w:r>
    </w:p>
    <w:p w:rsidR="000E0CFC" w:rsidRPr="000E0CFC" w:rsidRDefault="000E0CFC" w:rsidP="000E0CFC">
      <w:pPr>
        <w:ind w:left="-284"/>
        <w:jc w:val="both"/>
        <w:rPr>
          <w:rFonts w:ascii="Times New Roman" w:hAnsi="Times New Roman" w:cs="Times New Roman"/>
          <w:b/>
        </w:rPr>
      </w:pPr>
      <w:r w:rsidRPr="00750C6A">
        <w:rPr>
          <w:rFonts w:ascii="Times New Roman" w:hAnsi="Times New Roman" w:cs="Times New Roman"/>
          <w:sz w:val="28"/>
          <w:szCs w:val="28"/>
        </w:rPr>
        <w:t xml:space="preserve">       3. Опубликовать настоящее постановление в газете «</w:t>
      </w:r>
      <w:proofErr w:type="spellStart"/>
      <w:r w:rsidRPr="00750C6A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750C6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50C6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0E0C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E0CF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0E0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E0CFC" w:rsidRPr="000E0CFC" w:rsidRDefault="000E0CFC" w:rsidP="000E0CFC">
      <w:pPr>
        <w:spacing w:after="0" w:line="259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</w:p>
    <w:p w:rsidR="00C90473" w:rsidRDefault="00C90473" w:rsidP="000E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CBE" w:rsidRPr="005B68D2" w:rsidRDefault="00755CBE" w:rsidP="000E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7F2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755C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0C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А.А.Козлов</w:t>
      </w: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C6A" w:rsidRDefault="00750C6A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0C6A" w:rsidRDefault="00750C6A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0C6A" w:rsidRDefault="00750C6A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767F2" w:rsidRPr="009E34E1" w:rsidRDefault="001767F2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4E1">
        <w:rPr>
          <w:rFonts w:ascii="Times New Roman" w:hAnsi="Times New Roman" w:cs="Times New Roman"/>
          <w:sz w:val="18"/>
          <w:szCs w:val="18"/>
        </w:rPr>
        <w:t>УТВЕРЖДЕН</w:t>
      </w:r>
    </w:p>
    <w:p w:rsidR="001767F2" w:rsidRPr="009E34E1" w:rsidRDefault="001767F2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4E1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1767F2" w:rsidRPr="009E34E1" w:rsidRDefault="000E0CFC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Ермолинского</w:t>
      </w:r>
      <w:r w:rsidR="001767F2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="001767F2" w:rsidRPr="009E34E1">
        <w:rPr>
          <w:rFonts w:ascii="Times New Roman" w:hAnsi="Times New Roman" w:cs="Times New Roman"/>
          <w:sz w:val="18"/>
          <w:szCs w:val="18"/>
        </w:rPr>
        <w:t>поселения</w:t>
      </w:r>
    </w:p>
    <w:p w:rsidR="001767F2" w:rsidRDefault="001767F2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4E1">
        <w:rPr>
          <w:rFonts w:ascii="Times New Roman" w:hAnsi="Times New Roman" w:cs="Times New Roman"/>
          <w:sz w:val="18"/>
          <w:szCs w:val="18"/>
        </w:rPr>
        <w:t xml:space="preserve">от </w:t>
      </w:r>
      <w:r w:rsidR="00F203BF">
        <w:rPr>
          <w:rFonts w:ascii="Times New Roman" w:hAnsi="Times New Roman" w:cs="Times New Roman"/>
          <w:sz w:val="18"/>
          <w:szCs w:val="18"/>
        </w:rPr>
        <w:t>30.01.2020 № 51</w:t>
      </w:r>
    </w:p>
    <w:p w:rsidR="001767F2" w:rsidRDefault="001767F2" w:rsidP="001767F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767F2" w:rsidRDefault="001767F2" w:rsidP="0017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E1">
        <w:rPr>
          <w:rFonts w:ascii="Times New Roman" w:hAnsi="Times New Roman" w:cs="Times New Roman"/>
          <w:b/>
          <w:sz w:val="28"/>
          <w:szCs w:val="28"/>
        </w:rPr>
        <w:t>Порядок формирования перечня налоговых расходов Администрац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0E0CF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F203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767F2" w:rsidRDefault="001767F2" w:rsidP="00176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F2" w:rsidRDefault="001767F2" w:rsidP="001767F2">
      <w:pPr>
        <w:pStyle w:val="a3"/>
        <w:numPr>
          <w:ilvl w:val="0"/>
          <w:numId w:val="8"/>
        </w:num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67F2" w:rsidRDefault="001767F2" w:rsidP="001767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7F2" w:rsidRDefault="001767F2" w:rsidP="001767F2">
      <w:pPr>
        <w:pStyle w:val="a3"/>
        <w:numPr>
          <w:ilvl w:val="1"/>
          <w:numId w:val="8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перечня налоговых расходов Администрации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установленных нормативными правовыми актами,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1767F2" w:rsidRDefault="001767F2" w:rsidP="001767F2">
      <w:pPr>
        <w:pStyle w:val="a3"/>
        <w:numPr>
          <w:ilvl w:val="1"/>
          <w:numId w:val="8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CD7">
        <w:rPr>
          <w:rFonts w:ascii="Times New Roman" w:hAnsi="Times New Roman" w:cs="Times New Roman"/>
          <w:b/>
          <w:i/>
          <w:sz w:val="28"/>
          <w:szCs w:val="28"/>
        </w:rPr>
        <w:t>налоговые расходы</w:t>
      </w:r>
      <w:r w:rsidR="000E0CFC">
        <w:rPr>
          <w:rFonts w:ascii="Times New Roman" w:hAnsi="Times New Roman" w:cs="Times New Roman"/>
          <w:sz w:val="28"/>
          <w:szCs w:val="28"/>
        </w:rPr>
        <w:t xml:space="preserve"> – выпадающие доходы бюджета 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обусловленные налоговыми льготами, освобождениями и иными преференциями по налогам и сборам, предусмотренными в качестве мер государственной поддержки в соответствии с целями муниципальных программ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куратор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– отраслевые (функциональные) органы и структурные подразделения Администрации Новгородского муниципального района, ответственные в соответствии с полномочиями, установленными нормативными правовыми актами Новгородского муниципального района, за достижение соответствующих налоговому расходу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целей муниципальной программы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(ее структурных элементов) и (или) социально-экономического развития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</w:t>
      </w:r>
      <w:r w:rsidR="000E0CFC">
        <w:rPr>
          <w:rFonts w:ascii="Times New Roman" w:hAnsi="Times New Roman" w:cs="Times New Roman"/>
          <w:sz w:val="28"/>
          <w:szCs w:val="28"/>
        </w:rPr>
        <w:t xml:space="preserve"> 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перечень налоговых расходов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F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свод налоговых расходов в разрезе муниципальных программ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их структурных элементов, а также направлений деятельности, не относящихся к муниципальным программам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кураторов налоговых расходов, указаний на обуславливающие соответствующие налоговые расходы положения (статьи, части, пункты, подпункты, абзацы) решений Советов депутатов и сроки действия таких положений.</w:t>
      </w:r>
      <w:proofErr w:type="gramEnd"/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67F2" w:rsidRDefault="001767F2" w:rsidP="001767F2">
      <w:pPr>
        <w:pStyle w:val="a3"/>
        <w:numPr>
          <w:ilvl w:val="0"/>
          <w:numId w:val="8"/>
        </w:num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перечня налоговых расходов </w:t>
      </w:r>
      <w:r w:rsidR="000E0CFC">
        <w:rPr>
          <w:rFonts w:ascii="Times New Roman" w:hAnsi="Times New Roman" w:cs="Times New Roman"/>
          <w:b/>
          <w:sz w:val="28"/>
          <w:szCs w:val="28"/>
        </w:rPr>
        <w:t xml:space="preserve">Ермолинского </w:t>
      </w:r>
      <w:r w:rsidR="00947BBC" w:rsidRPr="00947BB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947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C3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 очередной финансовый год и плановый период (далее проект перечня налоговых расходов) формируется Администрацией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до 25 марта текущего финансового года по форме, согласно приложению, к настоящему Порядку и направляется на согласование отраслевым (функциональным) органам Администрации Новгородского муниципального района, ответственным в соответствии с полномочиями, установленными нормативными правовыми актами Администрации Новгородского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за достижение соответствующих налоговому расходу целей муниципальной программы </w:t>
      </w:r>
      <w:r w:rsidR="000E0CFC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(ее структурных элементов)</w:t>
      </w:r>
      <w:r w:rsidRPr="00C7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не относящихся к муниципальным программам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поселения, которые проектом перечня налоговых расходов предлагается закрепить в качестве кураторов налоговых расходов.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Отраслевые (функциональные) органы Администрации Новгородского муниципального района, указанные в пункте 2.1. настоящего Порядка, в течени</w:t>
      </w:r>
      <w:r w:rsidR="00947B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проекта перечня налоговых расходов рассматривают его на предмет ра</w:t>
      </w:r>
      <w:r w:rsidR="00947BBC">
        <w:rPr>
          <w:rFonts w:ascii="Times New Roman" w:hAnsi="Times New Roman" w:cs="Times New Roman"/>
          <w:sz w:val="28"/>
          <w:szCs w:val="28"/>
        </w:rPr>
        <w:t xml:space="preserve">спределения налоговых расходов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муниципальным программам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их структурным элементам, направлением деятельности, не входящим в муниципальные программы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определения кураторов налоговых расходов и направляют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результатах его рассмотрения в Администрацию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</w:t>
      </w:r>
      <w:r w:rsidR="00947BBC">
        <w:rPr>
          <w:rFonts w:ascii="Times New Roman" w:hAnsi="Times New Roman" w:cs="Times New Roman"/>
          <w:sz w:val="28"/>
          <w:szCs w:val="28"/>
        </w:rPr>
        <w:t>оговых расходов</w:t>
      </w:r>
      <w:r w:rsidR="000E0CFC">
        <w:rPr>
          <w:rFonts w:ascii="Times New Roman" w:hAnsi="Times New Roman" w:cs="Times New Roman"/>
          <w:sz w:val="28"/>
          <w:szCs w:val="28"/>
        </w:rPr>
        <w:t xml:space="preserve"> Ермолинского</w:t>
      </w:r>
      <w:r w:rsidR="00750C6A">
        <w:rPr>
          <w:rFonts w:ascii="Times New Roman" w:hAnsi="Times New Roman" w:cs="Times New Roman"/>
          <w:sz w:val="28"/>
          <w:szCs w:val="28"/>
        </w:rPr>
        <w:t xml:space="preserve"> </w:t>
      </w:r>
      <w:r w:rsidR="00947BB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и (или)</w:t>
      </w:r>
      <w:r w:rsidR="00947BBC">
        <w:rPr>
          <w:rFonts w:ascii="Times New Roman" w:hAnsi="Times New Roman" w:cs="Times New Roman"/>
          <w:sz w:val="28"/>
          <w:szCs w:val="28"/>
        </w:rPr>
        <w:t xml:space="preserve"> не направлена в Администрацию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течение срока, указанного в первом абзаце настоящего пункта, проект перечня налоговых расходов считается согласованным.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</w:t>
      </w:r>
      <w:r w:rsidR="00947BBC">
        <w:rPr>
          <w:rFonts w:ascii="Times New Roman" w:hAnsi="Times New Roman" w:cs="Times New Roman"/>
          <w:sz w:val="28"/>
          <w:szCs w:val="28"/>
        </w:rPr>
        <w:t xml:space="preserve">авлению в Администрацию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течение срока, указанного в первом  абзаце пункта 2.2. настоящего Порядка.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Администрация </w:t>
      </w:r>
      <w:r w:rsidR="000E0CFC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обеспечивает проведение согласительных совещаний с соответствующими отраслевыми </w:t>
      </w:r>
      <w:r>
        <w:rPr>
          <w:rFonts w:ascii="Times New Roman" w:hAnsi="Times New Roman" w:cs="Times New Roman"/>
          <w:sz w:val="28"/>
          <w:szCs w:val="28"/>
        </w:rPr>
        <w:lastRenderedPageBreak/>
        <w:t>(функциональными) и структурными подразделениями Администрации Новгородского муниципального района до 20 апреля текущего финансового года.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Разногласия, не урегулированные по результатам согласительных совещаний, указанных в четвертом абзаце настоящего пункта, рассматриваются Главой </w:t>
      </w:r>
      <w:r w:rsidR="00903238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до 30 апреля текущего финансового года.</w:t>
      </w:r>
    </w:p>
    <w:p w:rsidR="001767F2" w:rsidRDefault="001767F2" w:rsidP="0017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937A1">
        <w:rPr>
          <w:rFonts w:ascii="Times New Roman" w:hAnsi="Times New Roman" w:cs="Times New Roman"/>
          <w:sz w:val="28"/>
          <w:szCs w:val="28"/>
        </w:rPr>
        <w:t>В течение 7 рабочих дней со дня завершения процедур, указанных в пятом абзаце пункта 2.2. настоящего Порядка, перечень налоговых расходов размещается на о</w:t>
      </w:r>
      <w:r w:rsidR="00947BBC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903238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947BBC">
        <w:rPr>
          <w:rFonts w:ascii="Times New Roman" w:hAnsi="Times New Roman" w:cs="Times New Roman"/>
          <w:sz w:val="28"/>
          <w:szCs w:val="28"/>
        </w:rPr>
        <w:t>сельского</w:t>
      </w:r>
      <w:r w:rsidRPr="000937A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767F2" w:rsidRDefault="001767F2" w:rsidP="0017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093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 </w:t>
      </w:r>
      <w:r w:rsidR="00903238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 структуру муниципальных программ (подпрограмм муниципальных программ) </w:t>
      </w:r>
      <w:r w:rsidR="00903238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(или) изменения полномочий отраслевых (функциональных) и структурных подразделений Администрации Новгородского муниципального района, указанных в пункте 2.1. настоящего Порядка, затрагивающих перечень налоговых расходов, кураторы налоговых расходов не позднее 10 рабочих дней со дня внесения изменений направляют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903238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соответствующую информацию для уточнения перечня налоговых расходов.</w:t>
      </w:r>
    </w:p>
    <w:p w:rsidR="001767F2" w:rsidRPr="007A6BDD" w:rsidRDefault="001767F2" w:rsidP="0017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кураторов налоговых расходов информации, указанной в первом абзаце на</w:t>
      </w:r>
      <w:r w:rsidR="00947BBC">
        <w:rPr>
          <w:rFonts w:ascii="Times New Roman" w:hAnsi="Times New Roman" w:cs="Times New Roman"/>
          <w:sz w:val="28"/>
          <w:szCs w:val="28"/>
        </w:rPr>
        <w:t xml:space="preserve">стоящего пункта, Администрация </w:t>
      </w:r>
      <w:r w:rsidR="00903238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вносит соответствующие изменения в перечень налоговых расходов и размещает его на </w:t>
      </w:r>
      <w:r w:rsidRPr="000937A1">
        <w:rPr>
          <w:rFonts w:ascii="Times New Roman" w:hAnsi="Times New Roman" w:cs="Times New Roman"/>
          <w:sz w:val="28"/>
          <w:szCs w:val="28"/>
        </w:rPr>
        <w:t>о</w:t>
      </w:r>
      <w:r w:rsidR="00947BBC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903238">
        <w:rPr>
          <w:rFonts w:ascii="Times New Roman" w:hAnsi="Times New Roman" w:cs="Times New Roman"/>
          <w:sz w:val="28"/>
          <w:szCs w:val="28"/>
        </w:rPr>
        <w:t>Ермолинского</w:t>
      </w:r>
      <w:r w:rsidR="00947BB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937A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767F2" w:rsidRDefault="001767F2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56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5601" w:rsidRP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60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C5601" w:rsidRP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6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5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01">
        <w:rPr>
          <w:rFonts w:ascii="Times New Roman" w:eastAsia="Times New Roman" w:hAnsi="Times New Roman" w:cs="Times New Roman"/>
          <w:sz w:val="24"/>
          <w:szCs w:val="24"/>
        </w:rPr>
        <w:t>порядку формирования</w:t>
      </w:r>
    </w:p>
    <w:p w:rsidR="00CC5601" w:rsidRP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6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5601">
        <w:rPr>
          <w:rFonts w:ascii="Times New Roman" w:eastAsia="Times New Roman" w:hAnsi="Times New Roman" w:cs="Times New Roman"/>
          <w:sz w:val="24"/>
          <w:szCs w:val="24"/>
        </w:rPr>
        <w:t>еречня налоговых расходов</w:t>
      </w:r>
    </w:p>
    <w:p w:rsidR="00CC5601" w:rsidRP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6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Ермолинского сельского поселения</w:t>
      </w:r>
    </w:p>
    <w:p w:rsidR="00CC5601" w:rsidRPr="00CC5601" w:rsidRDefault="00CC5601" w:rsidP="00CC56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601" w:rsidRPr="00CC5601" w:rsidRDefault="00CC5601" w:rsidP="00750C6A">
      <w:pPr>
        <w:tabs>
          <w:tab w:val="left" w:pos="30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601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CC5601" w:rsidRDefault="00CC5601" w:rsidP="00750C6A">
      <w:pPr>
        <w:tabs>
          <w:tab w:val="left" w:pos="30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601">
        <w:rPr>
          <w:rFonts w:ascii="Times New Roman" w:eastAsia="Times New Roman" w:hAnsi="Times New Roman" w:cs="Times New Roman"/>
          <w:sz w:val="28"/>
          <w:szCs w:val="28"/>
        </w:rPr>
        <w:t>налоговых расходов Ермолинского сельского поселения</w:t>
      </w:r>
    </w:p>
    <w:p w:rsidR="00CC5601" w:rsidRPr="00CC5601" w:rsidRDefault="00CC5601" w:rsidP="00CC5601">
      <w:pPr>
        <w:tabs>
          <w:tab w:val="left" w:pos="3021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466"/>
        <w:gridCol w:w="691"/>
        <w:gridCol w:w="567"/>
        <w:gridCol w:w="850"/>
        <w:gridCol w:w="567"/>
        <w:gridCol w:w="851"/>
        <w:gridCol w:w="708"/>
        <w:gridCol w:w="709"/>
        <w:gridCol w:w="858"/>
        <w:gridCol w:w="556"/>
        <w:gridCol w:w="1114"/>
        <w:gridCol w:w="557"/>
      </w:tblGrid>
      <w:tr w:rsidR="00750C6A" w:rsidTr="00D40039">
        <w:trPr>
          <w:trHeight w:val="856"/>
        </w:trPr>
        <w:tc>
          <w:tcPr>
            <w:tcW w:w="645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C5601">
              <w:rPr>
                <w:rFonts w:eastAsia="Times New Roman"/>
              </w:rPr>
              <w:t xml:space="preserve">№ </w:t>
            </w:r>
            <w:proofErr w:type="gramStart"/>
            <w:r w:rsidRPr="00CC5601">
              <w:rPr>
                <w:rFonts w:eastAsia="Times New Roman"/>
              </w:rPr>
              <w:t>п</w:t>
            </w:r>
            <w:proofErr w:type="gramEnd"/>
            <w:r w:rsidRPr="00CC5601">
              <w:rPr>
                <w:rFonts w:eastAsia="Times New Roman"/>
              </w:rPr>
              <w:t>/п</w:t>
            </w:r>
          </w:p>
        </w:tc>
        <w:tc>
          <w:tcPr>
            <w:tcW w:w="1466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C5601">
              <w:rPr>
                <w:rFonts w:eastAsia="Times New Roman"/>
              </w:rPr>
              <w:t>Наименование налогового расхода</w:t>
            </w:r>
          </w:p>
        </w:tc>
        <w:tc>
          <w:tcPr>
            <w:tcW w:w="2108" w:type="dxa"/>
            <w:gridSpan w:val="3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Правовой акт, устанавливающий налоговый расход</w:t>
            </w:r>
          </w:p>
        </w:tc>
        <w:tc>
          <w:tcPr>
            <w:tcW w:w="567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налога</w:t>
            </w:r>
          </w:p>
        </w:tc>
        <w:tc>
          <w:tcPr>
            <w:tcW w:w="851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Целевая категория налогового расхода (стимулирующая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>социальная)</w:t>
            </w:r>
          </w:p>
        </w:tc>
        <w:tc>
          <w:tcPr>
            <w:tcW w:w="708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 предоставления налогового расхода</w:t>
            </w:r>
          </w:p>
        </w:tc>
        <w:tc>
          <w:tcPr>
            <w:tcW w:w="709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Налогоплательщики налогового расхода (ФЛ</w:t>
            </w:r>
            <w:proofErr w:type="gramStart"/>
            <w:r>
              <w:rPr>
                <w:rFonts w:eastAsia="Times New Roman"/>
              </w:rPr>
              <w:t>,И</w:t>
            </w:r>
            <w:proofErr w:type="gramEnd"/>
            <w:r>
              <w:rPr>
                <w:rFonts w:eastAsia="Times New Roman"/>
              </w:rPr>
              <w:t>П,ЮЛ)</w:t>
            </w:r>
          </w:p>
        </w:tc>
        <w:tc>
          <w:tcPr>
            <w:tcW w:w="858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proofErr w:type="spellStart"/>
            <w:r>
              <w:rPr>
                <w:rFonts w:eastAsia="Times New Roman"/>
              </w:rPr>
              <w:t>началадействия</w:t>
            </w:r>
            <w:proofErr w:type="spellEnd"/>
            <w:r>
              <w:rPr>
                <w:rFonts w:eastAsia="Times New Roman"/>
              </w:rPr>
              <w:t xml:space="preserve"> налогового расхода</w:t>
            </w:r>
          </w:p>
        </w:tc>
        <w:tc>
          <w:tcPr>
            <w:tcW w:w="556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Дата прекращения налогового расхода</w:t>
            </w:r>
          </w:p>
        </w:tc>
        <w:tc>
          <w:tcPr>
            <w:tcW w:w="1114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муниципальной программы Ермолинского сельского поселения, ее структурных элементов, а так же </w:t>
            </w:r>
            <w:proofErr w:type="spellStart"/>
            <w:r>
              <w:rPr>
                <w:rFonts w:eastAsia="Times New Roman"/>
              </w:rPr>
              <w:t>направленний</w:t>
            </w:r>
            <w:proofErr w:type="spellEnd"/>
            <w:r>
              <w:rPr>
                <w:rFonts w:eastAsia="Times New Roman"/>
              </w:rPr>
              <w:t xml:space="preserve"> деятельности, не входящих в муниципальные программы Ермолинского сельского поселения</w:t>
            </w:r>
          </w:p>
        </w:tc>
        <w:tc>
          <w:tcPr>
            <w:tcW w:w="557" w:type="dxa"/>
            <w:vMerge w:val="restart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Куратор налогового расхода</w:t>
            </w:r>
          </w:p>
        </w:tc>
      </w:tr>
      <w:tr w:rsidR="00750C6A" w:rsidTr="00D40039">
        <w:trPr>
          <w:trHeight w:val="2272"/>
        </w:trPr>
        <w:tc>
          <w:tcPr>
            <w:tcW w:w="645" w:type="dxa"/>
            <w:vMerge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C5601">
              <w:rPr>
                <w:rFonts w:eastAsia="Times New Roman"/>
              </w:rPr>
              <w:t>наименование</w:t>
            </w:r>
          </w:p>
        </w:tc>
        <w:tc>
          <w:tcPr>
            <w:tcW w:w="567" w:type="dxa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C5601">
              <w:rPr>
                <w:rFonts w:eastAsia="Times New Roman"/>
              </w:rPr>
              <w:t>номер</w:t>
            </w:r>
          </w:p>
        </w:tc>
        <w:tc>
          <w:tcPr>
            <w:tcW w:w="850" w:type="dxa"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C5601">
              <w:rPr>
                <w:rFonts w:eastAsia="Times New Roman"/>
              </w:rPr>
              <w:t>дата</w:t>
            </w:r>
          </w:p>
        </w:tc>
        <w:tc>
          <w:tcPr>
            <w:tcW w:w="567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8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858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556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114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557" w:type="dxa"/>
            <w:vMerge/>
          </w:tcPr>
          <w:p w:rsidR="00750C6A" w:rsidRPr="00CC5601" w:rsidRDefault="00750C6A" w:rsidP="001767F2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750C6A" w:rsidTr="00021C73">
        <w:tc>
          <w:tcPr>
            <w:tcW w:w="645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8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56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114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750C6A" w:rsidTr="00021C73">
        <w:tc>
          <w:tcPr>
            <w:tcW w:w="645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50C6A" w:rsidTr="00021C73">
        <w:tc>
          <w:tcPr>
            <w:tcW w:w="645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750C6A" w:rsidRDefault="00750C6A" w:rsidP="001767F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C5601" w:rsidRPr="00CC5601" w:rsidRDefault="00CC5601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5601" w:rsidRPr="00CC5601" w:rsidSect="00CC5601">
      <w:pgSz w:w="11906" w:h="16838"/>
      <w:pgMar w:top="567" w:right="707" w:bottom="851" w:left="1276" w:header="720" w:footer="72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3B" w:rsidRDefault="00AA7F3B" w:rsidP="00CC5601">
      <w:pPr>
        <w:spacing w:after="0" w:line="240" w:lineRule="auto"/>
      </w:pPr>
      <w:r>
        <w:separator/>
      </w:r>
    </w:p>
  </w:endnote>
  <w:endnote w:type="continuationSeparator" w:id="0">
    <w:p w:rsidR="00AA7F3B" w:rsidRDefault="00AA7F3B" w:rsidP="00CC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3B" w:rsidRDefault="00AA7F3B" w:rsidP="00CC5601">
      <w:pPr>
        <w:spacing w:after="0" w:line="240" w:lineRule="auto"/>
      </w:pPr>
      <w:r>
        <w:separator/>
      </w:r>
    </w:p>
  </w:footnote>
  <w:footnote w:type="continuationSeparator" w:id="0">
    <w:p w:rsidR="00AA7F3B" w:rsidRDefault="00AA7F3B" w:rsidP="00CC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803529"/>
    <w:multiLevelType w:val="multilevel"/>
    <w:tmpl w:val="A6988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27BD"/>
    <w:rsid w:val="00036BA0"/>
    <w:rsid w:val="000A391D"/>
    <w:rsid w:val="000C41C1"/>
    <w:rsid w:val="000E0CFC"/>
    <w:rsid w:val="001041D8"/>
    <w:rsid w:val="001044B4"/>
    <w:rsid w:val="00166373"/>
    <w:rsid w:val="001767F2"/>
    <w:rsid w:val="001D6D01"/>
    <w:rsid w:val="001E472C"/>
    <w:rsid w:val="00203500"/>
    <w:rsid w:val="002232EE"/>
    <w:rsid w:val="00243F44"/>
    <w:rsid w:val="002506C2"/>
    <w:rsid w:val="00297BE3"/>
    <w:rsid w:val="002A7037"/>
    <w:rsid w:val="002C15DC"/>
    <w:rsid w:val="00315F11"/>
    <w:rsid w:val="0032460C"/>
    <w:rsid w:val="003407E6"/>
    <w:rsid w:val="00357802"/>
    <w:rsid w:val="00371A0B"/>
    <w:rsid w:val="00386C3B"/>
    <w:rsid w:val="00391E88"/>
    <w:rsid w:val="003A3BEC"/>
    <w:rsid w:val="003C5B4E"/>
    <w:rsid w:val="0043194F"/>
    <w:rsid w:val="00484E49"/>
    <w:rsid w:val="004B3518"/>
    <w:rsid w:val="004B3D0F"/>
    <w:rsid w:val="004D18D7"/>
    <w:rsid w:val="004E2AFE"/>
    <w:rsid w:val="004F5525"/>
    <w:rsid w:val="00530983"/>
    <w:rsid w:val="0054538F"/>
    <w:rsid w:val="00550C45"/>
    <w:rsid w:val="00556DF2"/>
    <w:rsid w:val="00560312"/>
    <w:rsid w:val="00585958"/>
    <w:rsid w:val="005B4453"/>
    <w:rsid w:val="005B68D2"/>
    <w:rsid w:val="00611BEA"/>
    <w:rsid w:val="00615DF3"/>
    <w:rsid w:val="00645191"/>
    <w:rsid w:val="0065021B"/>
    <w:rsid w:val="00683166"/>
    <w:rsid w:val="00687AA4"/>
    <w:rsid w:val="00696E93"/>
    <w:rsid w:val="006978C1"/>
    <w:rsid w:val="006B24B5"/>
    <w:rsid w:val="00717E25"/>
    <w:rsid w:val="00750C6A"/>
    <w:rsid w:val="00755CBE"/>
    <w:rsid w:val="007703A1"/>
    <w:rsid w:val="007E4E6F"/>
    <w:rsid w:val="007F5A52"/>
    <w:rsid w:val="00826555"/>
    <w:rsid w:val="00832A3F"/>
    <w:rsid w:val="008432EE"/>
    <w:rsid w:val="008826D9"/>
    <w:rsid w:val="008C6286"/>
    <w:rsid w:val="008E5264"/>
    <w:rsid w:val="008E6B6B"/>
    <w:rsid w:val="008F648D"/>
    <w:rsid w:val="008F7DBC"/>
    <w:rsid w:val="00903238"/>
    <w:rsid w:val="009209EB"/>
    <w:rsid w:val="00947BBC"/>
    <w:rsid w:val="009612F7"/>
    <w:rsid w:val="009614FC"/>
    <w:rsid w:val="009719BD"/>
    <w:rsid w:val="009A7636"/>
    <w:rsid w:val="009E38DD"/>
    <w:rsid w:val="00A20717"/>
    <w:rsid w:val="00A407D6"/>
    <w:rsid w:val="00A62F4C"/>
    <w:rsid w:val="00A96BA0"/>
    <w:rsid w:val="00AA7F3B"/>
    <w:rsid w:val="00AE3614"/>
    <w:rsid w:val="00AF193B"/>
    <w:rsid w:val="00B10B8E"/>
    <w:rsid w:val="00B252AF"/>
    <w:rsid w:val="00B31F7E"/>
    <w:rsid w:val="00B74859"/>
    <w:rsid w:val="00B75025"/>
    <w:rsid w:val="00B82A71"/>
    <w:rsid w:val="00BC42E3"/>
    <w:rsid w:val="00BD3810"/>
    <w:rsid w:val="00C05091"/>
    <w:rsid w:val="00C102E5"/>
    <w:rsid w:val="00C1482F"/>
    <w:rsid w:val="00C2097E"/>
    <w:rsid w:val="00C82D09"/>
    <w:rsid w:val="00C90473"/>
    <w:rsid w:val="00C93DDE"/>
    <w:rsid w:val="00C9592E"/>
    <w:rsid w:val="00CA27AD"/>
    <w:rsid w:val="00CA4F25"/>
    <w:rsid w:val="00CC1083"/>
    <w:rsid w:val="00CC5601"/>
    <w:rsid w:val="00CC7F58"/>
    <w:rsid w:val="00CF10DB"/>
    <w:rsid w:val="00D0457F"/>
    <w:rsid w:val="00D046B7"/>
    <w:rsid w:val="00D076A1"/>
    <w:rsid w:val="00D1159A"/>
    <w:rsid w:val="00D40B67"/>
    <w:rsid w:val="00D51AD9"/>
    <w:rsid w:val="00D62ACA"/>
    <w:rsid w:val="00DF149A"/>
    <w:rsid w:val="00EA6D86"/>
    <w:rsid w:val="00EE09F4"/>
    <w:rsid w:val="00F203BF"/>
    <w:rsid w:val="00F223F0"/>
    <w:rsid w:val="00F31584"/>
    <w:rsid w:val="00F36ED1"/>
    <w:rsid w:val="00F521FC"/>
    <w:rsid w:val="00F60FFA"/>
    <w:rsid w:val="00F85276"/>
    <w:rsid w:val="00FA69F9"/>
    <w:rsid w:val="00FB6926"/>
    <w:rsid w:val="00FD2940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47B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rsid w:val="0094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C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56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5601"/>
    <w:rPr>
      <w:rFonts w:eastAsiaTheme="minorEastAsia"/>
      <w:lang w:eastAsia="ru-RU"/>
    </w:rPr>
  </w:style>
  <w:style w:type="paragraph" w:styleId="ab">
    <w:name w:val="No Spacing"/>
    <w:uiPriority w:val="1"/>
    <w:qFormat/>
    <w:rsid w:val="00750C6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28DD-9EEB-4432-B285-BE576376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</cp:lastModifiedBy>
  <cp:revision>7</cp:revision>
  <cp:lastPrinted>2019-10-08T13:53:00Z</cp:lastPrinted>
  <dcterms:created xsi:type="dcterms:W3CDTF">2020-01-28T05:23:00Z</dcterms:created>
  <dcterms:modified xsi:type="dcterms:W3CDTF">2020-01-30T13:08:00Z</dcterms:modified>
</cp:coreProperties>
</file>